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Shulman Joseph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480"/>
        <w:spacing w:after="0" w:line="383" w:lineRule="auto"/>
        <w:rPr>
          <w:sz w:val="20"/>
          <w:szCs w:val="20"/>
          <w:color w:val="auto"/>
        </w:rPr>
      </w:pPr>
      <w:r>
        <w:rPr>
          <w:rFonts w:ascii="Times New Roman" w:cs="Times New Roman" w:eastAsia="Times New Roman" w:hAnsi="Times New Roman"/>
          <w:sz w:val="16"/>
          <w:szCs w:val="16"/>
          <w:color w:val="0000FF"/>
        </w:rPr>
        <w:t>C/O RHYTHM PHARMACEUTICALS, INC. 222 BERKELEY STREET, 12TH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RHYTHM PHARMACEUTICALS,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48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2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660"/>
              <w:spacing w:after="0" w:line="182" w:lineRule="exact"/>
              <w:rPr>
                <w:sz w:val="20"/>
                <w:szCs w:val="20"/>
                <w:color w:val="auto"/>
              </w:rPr>
            </w:pPr>
            <w:r>
              <w:rPr>
                <w:rFonts w:ascii="Times New Roman" w:cs="Times New Roman" w:eastAsia="Times New Roman" w:hAnsi="Times New Roman"/>
                <w:sz w:val="17"/>
                <w:szCs w:val="17"/>
                <w:color w:val="0000FF"/>
              </w:rPr>
              <w:t>Chief Technical Officer</w:t>
            </w:r>
          </w:p>
        </w:tc>
        <w:tc>
          <w:tcPr>
            <w:tcW w:w="0" w:type="dxa"/>
            <w:vAlign w:val="bottom"/>
          </w:tcPr>
          <w:p>
            <w:pPr>
              <w:spacing w:after="0"/>
              <w:rPr>
                <w:sz w:val="1"/>
                <w:szCs w:val="1"/>
                <w:color w:val="auto"/>
              </w:rPr>
            </w:pPr>
          </w:p>
        </w:tc>
      </w:tr>
      <w:tr>
        <w:trPr>
          <w:trHeight w:val="218"/>
        </w:trPr>
        <w:tc>
          <w:tcPr>
            <w:tcW w:w="3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08/21/2025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4,188</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27.35</w:t>
            </w:r>
          </w:p>
        </w:tc>
        <w:tc>
          <w:tcPr>
            <w:tcW w:w="220" w:type="dxa"/>
            <w:vAlign w:val="bottom"/>
          </w:tcPr>
          <w:p>
            <w:pPr>
              <w:spacing w:after="0"/>
              <w:rPr>
                <w:sz w:val="22"/>
                <w:szCs w:val="22"/>
                <w:color w:val="auto"/>
              </w:rPr>
            </w:pPr>
          </w:p>
        </w:tc>
        <w:tc>
          <w:tcPr>
            <w:tcW w:w="114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12,697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4,188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100.0694</w:t>
            </w:r>
            <w:r>
              <w:rPr>
                <w:rFonts w:ascii="Times New Roman" w:cs="Times New Roman" w:eastAsia="Times New Roman" w:hAnsi="Times New Roman"/>
                <w:sz w:val="21"/>
                <w:szCs w:val="21"/>
                <w:color w:val="008000"/>
                <w:w w:val="96"/>
                <w:vertAlign w:val="superscript"/>
              </w:rPr>
              <w:t>(2)</w:t>
            </w:r>
          </w:p>
        </w:tc>
        <w:tc>
          <w:tcPr>
            <w:tcW w:w="11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8,509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08/21/2025</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4,188</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01/31/2033</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4,188</w:t>
            </w:r>
          </w:p>
        </w:tc>
        <w:tc>
          <w:tcPr>
            <w:tcW w:w="22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18,844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Rule 10b5-1 instruction adopted on August 8,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securities were sold in multiple transactions at prices ranging from $100.00 to $100.30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granted on February 1, 2023. The options vest and become exercisable in 16 substantially equal installments upon the Reporting Person's completion of each three full months of successive service to the Issuer following the grant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01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Joseph</w:t>
      </w:r>
      <w:r>
        <w:rPr>
          <w:sz w:val="20"/>
          <w:szCs w:val="20"/>
          <w:color w:val="auto"/>
        </w:rPr>
        <w:tab/>
      </w:r>
      <w:r>
        <w:rPr>
          <w:rFonts w:ascii="Times New Roman" w:cs="Times New Roman" w:eastAsia="Times New Roman" w:hAnsi="Times New Roman"/>
          <w:sz w:val="16"/>
          <w:szCs w:val="16"/>
          <w:color w:val="0000FF"/>
        </w:rPr>
        <w:t>08/25/2025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Shulman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81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9855"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2025-08-25T20:04:04Z</dcterms:created>
  <dcterms:modified xsi:type="dcterms:W3CDTF">2025-08-25T20:04:04Z</dcterms:modified>
</cp:coreProperties>
</file>