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63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6316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Popovits Kimberly J</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10"/>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RHYTHM PHARMACEUTICALS, INC. </w:t>
              </w:r>
            </w:hyperlink>
            <w:r>
              <w:rPr>
                <w:rFonts w:ascii="Times New Roman" w:cs="Times New Roman" w:eastAsia="Times New Roman" w:hAnsi="Times New Roman"/>
                <w:sz w:val="11"/>
                <w:szCs w:val="11"/>
                <w:color w:val="000000"/>
              </w:rPr>
              <w:t>[</w:t>
            </w:r>
          </w:p>
        </w:tc>
        <w:tc>
          <w:tcPr>
            <w:tcW w:w="1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6"/>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RYTM </w:t>
            </w:r>
            <w:r>
              <w:rPr>
                <w:rFonts w:ascii="Times New Roman" w:cs="Times New Roman" w:eastAsia="Times New Roman" w:hAnsi="Times New Roman"/>
                <w:sz w:val="20"/>
                <w:szCs w:val="20"/>
                <w:color w:val="000000"/>
              </w:rPr>
              <w:t>]</w:t>
            </w: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4"/>
                <w:szCs w:val="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222 BERKELEY STREET, 12TH FLOOR</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04/01/2026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96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2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0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7"/>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8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960" w:type="dxa"/>
            <w:vAlign w:val="bottom"/>
            <w:tcBorders>
              <w:bottom w:val="single" w:sz="8" w:color="2C2C2C"/>
            </w:tcBorders>
            <w:gridSpan w:val="4"/>
          </w:tcPr>
          <w:p>
            <w:pPr>
              <w:spacing w:after="0"/>
              <w:rPr>
                <w:sz w:val="7"/>
                <w:szCs w:val="7"/>
                <w:color w:val="auto"/>
              </w:rPr>
            </w:pPr>
          </w:p>
        </w:tc>
        <w:tc>
          <w:tcPr>
            <w:tcW w:w="60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9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80" w:type="dxa"/>
            <w:vAlign w:val="bottom"/>
            <w:gridSpan w:val="17"/>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of Securities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2"/>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7"/>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6,808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6,808</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6,808</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88.12</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10,257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0000FF"/>
              </w:rPr>
              <w:t>03/31/2036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10,257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10,257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gridSpan w:val="2"/>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as to 33% of the total shares on each of April 1, 2027, April 1, 2028, April 1, 2029. The restricted stock units have no expiration date.</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were granted on April 1, 2026. The options vest and become exercisable in three substantially equal annual installments subject to the Reporting Person continuing in service through each such vesting date.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Vander Stoep,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93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Kimberly J. 04/03/2026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Popovits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72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33482" TargetMode="External"/><Relationship Id="rId14" Type="http://schemas.openxmlformats.org/officeDocument/2006/relationships/hyperlink" Target="http://www.sec.gov/cgi-bin/browse-edgar?action=getcompany&amp;CIK=00016499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2026-04-03T16:37:46Z</dcterms:created>
  <dcterms:modified xsi:type="dcterms:W3CDTF">2026-04-03T16:37:46Z</dcterms:modified>
</cp:coreProperties>
</file>