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rPr>
        <w:t xml:space="preserve">As filed with the Securities and Exchange Commission on </w:t>
      </w:r>
      <w:r>
        <w:rPr>
          <w:rFonts w:ascii="Times New Roman;serif" w:hAnsi="Times New Roman;serif"/>
          <w:b w:val="false"/>
          <w:color w:val="000000"/>
          <w:sz w:val="20"/>
        </w:rPr>
        <w:t>May 5, 2026</w:t>
      </w:r>
    </w:p>
    <w:p>
      <w:pPr>
        <w:pStyle w:val="TextBody"/>
        <w:bidi w:val="0"/>
        <w:spacing w:before="0" w:after="0"/>
        <w:jc w:val="center"/>
        <w:rPr/>
      </w:pPr>
      <w:r>
        <w:rPr/>
      </w:r>
    </w:p>
    <w:p>
      <w:pPr>
        <w:pStyle w:val="TextBody"/>
        <w:bidi w:val="0"/>
        <w:spacing w:lineRule="auto" w:line="276" w:before="0" w:after="20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REGISTRATION STATEMENT</w:t>
      </w:r>
    </w:p>
    <w:p>
      <w:pPr>
        <w:pStyle w:val="TextBody"/>
        <w:bidi w:val="0"/>
        <w:spacing w:lineRule="auto" w:line="276" w:before="0" w:after="0"/>
        <w:jc w:val="center"/>
        <w:rPr>
          <w:rFonts w:ascii="Times New Roman;serif" w:hAnsi="Times New Roman;serif"/>
          <w:b/>
          <w:i/>
          <w:color w:val="000000"/>
          <w:sz w:val="20"/>
        </w:rPr>
      </w:pPr>
      <w:r>
        <w:rPr>
          <w:rFonts w:ascii="Times New Roman;serif" w:hAnsi="Times New Roman;serif"/>
          <w:b/>
          <w:i/>
          <w:color w:val="000000"/>
          <w:sz w:val="20"/>
        </w:rPr>
        <w:t>UNDER</w:t>
      </w:r>
    </w:p>
    <w:p>
      <w:pPr>
        <w:pStyle w:val="TextBody"/>
        <w:bidi w:val="0"/>
        <w:spacing w:lineRule="auto" w:line="276" w:before="0" w:after="200"/>
        <w:jc w:val="center"/>
        <w:rPr>
          <w:rFonts w:ascii="Times New Roman;serif" w:hAnsi="Times New Roman;serif"/>
          <w:b/>
          <w:i/>
          <w:color w:val="000000"/>
          <w:sz w:val="20"/>
        </w:rPr>
      </w:pPr>
      <w:r>
        <w:rPr>
          <w:rFonts w:ascii="Times New Roman;serif" w:hAnsi="Times New Roman;serif"/>
          <w:b/>
          <w:i/>
          <w:color w:val="000000"/>
          <w:sz w:val="20"/>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Rhythm Pharmaceuticals, Inc.</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68" w:type="dxa"/>
        <w:jc w:val="left"/>
        <w:tblInd w:w="0" w:type="dxa"/>
        <w:tblLayout w:type="fixed"/>
        <w:tblCellMar>
          <w:top w:w="28" w:type="dxa"/>
          <w:left w:w="28" w:type="dxa"/>
          <w:bottom w:w="28" w:type="dxa"/>
          <w:right w:w="28" w:type="dxa"/>
        </w:tblCellMar>
      </w:tblPr>
      <w:tblGrid>
        <w:gridCol w:w="1892"/>
        <w:gridCol w:w="1663"/>
        <w:gridCol w:w="1679"/>
        <w:gridCol w:w="915"/>
        <w:gridCol w:w="915"/>
        <w:gridCol w:w="1304"/>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1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46-2159271</w:t>
            </w:r>
          </w:p>
        </w:tc>
      </w:tr>
      <w:tr>
        <w:trPr/>
        <w:tc>
          <w:tcPr>
            <w:tcW w:w="52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1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12th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(857) 264-4280</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Rhythm Pharmaceuticals, Inc. Deferred Compensation Plan (Directors)</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(Full title of the plan)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David P. Meeker, M.D.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Chief Executive Officer, President and Chairman of the Board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76" w:before="0" w:after="0"/>
        <w:jc w:val="center"/>
        <w:rPr/>
      </w:pPr>
      <w:r>
        <w:rPr>
          <w:rFonts w:ascii="Times New Roman;serif" w:hAnsi="Times New Roman;serif"/>
          <w:b/>
          <w:color w:val="000000"/>
          <w:sz w:val="20"/>
        </w:rPr>
        <w:t>12</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(857) 264-4280</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(Name and address of agent for service) (Telephone number, including area code, of agent for service)</w:t>
      </w:r>
    </w:p>
    <w:p>
      <w:pPr>
        <w:pStyle w:val="TextBody"/>
        <w:bidi w:val="0"/>
        <w:spacing w:lineRule="auto" w:line="276" w:before="0" w:after="0"/>
        <w:jc w:val="center"/>
        <w:rPr>
          <w:rFonts w:ascii="Times New Roman;serif" w:hAnsi="Times New Roman;serif"/>
          <w:b/>
          <w:i/>
          <w:color w:val="000000"/>
          <w:sz w:val="20"/>
        </w:rPr>
      </w:pPr>
      <w:r>
        <w:rPr>
          <w:rFonts w:ascii="Times New Roman;serif" w:hAnsi="Times New Roman;serif"/>
          <w:b/>
          <w:i/>
          <w:color w:val="000000"/>
          <w:sz w:val="20"/>
        </w:rPr>
        <w:t>With copies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Peter N. Handrinos, Esq.</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Latham &amp; Watkins LLP</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John Hancock Tower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200 Clarendon 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(617) 948-6060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76" w:before="0" w:after="4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on Form S-8 is being filed for the purpose of registering $1,500,000 of deferred compensation obligations of Rhythm Pharmaceuticals, Inc. (the “Registrant”) to pay deferred compensation in accordance with the terms of the Rhythm Pharmaceuticals, Inc. Deferred Compensation Plan (Directors) (the “Plan”). This Registration Statement registers cash-settled deferred compensation obligations of the Registrant under the Plan. Shares of the Registrant’s common stock deliverable in respect of deferred performance share units and restricted stock units were previously registered.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The information called for in Part I of Form S-8 is not being filed with or included in this Registration Statement (by incorporation by reference or otherwise) in accordance with the rules and regulations of the Securities and Exchange Commission (the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documents filed with the Commission (in each case, (File No. 001-38223) are hereby incorporated by reference in this Registration Statement:</w:t>
      </w:r>
    </w:p>
    <w:p>
      <w:pPr>
        <w:pStyle w:val="TextBody"/>
        <w:bidi w:val="0"/>
        <w:spacing w:lineRule="auto" w:line="276" w:before="0" w:after="200"/>
        <w:jc w:val="left"/>
        <w:rPr/>
      </w:pPr>
      <w:r>
        <w:rPr>
          <w:rFonts w:ascii="Times New Roman;serif" w:hAnsi="Times New Roman;serif"/>
          <w:b w:val="false"/>
          <w:color w:val="000000"/>
          <w:sz w:val="20"/>
        </w:rPr>
        <w:t xml:space="preserve">(a) The Registrant’s </w:t>
      </w:r>
      <w:hyperlink r:id="rId2">
        <w:r>
          <w:rPr>
            <w:rStyle w:val="InternetLink"/>
            <w:rFonts w:ascii="Times New Roman;serif" w:hAnsi="Times New Roman;serif"/>
            <w:b w:val="false"/>
            <w:color w:val="000080"/>
            <w:sz w:val="20"/>
            <w:u w:val="single"/>
          </w:rPr>
          <w:t>Annual Report on Form 10-K for the year ended December 31, 202</w:t>
        </w:r>
      </w:hyperlink>
      <w:hyperlink r:id="rId3">
        <w:r>
          <w:rPr>
            <w:rStyle w:val="InternetLink"/>
            <w:rFonts w:ascii="Times New Roman;serif" w:hAnsi="Times New Roman;serif"/>
            <w:b w:val="false"/>
            <w:color w:val="000080"/>
            <w:sz w:val="20"/>
            <w:u w:val="single"/>
          </w:rPr>
          <w:t>5</w:t>
        </w:r>
      </w:hyperlink>
      <w:hyperlink r:id="rId4">
        <w:r>
          <w:rPr>
            <w:rStyle w:val="InternetLink"/>
            <w:rFonts w:ascii="Times New Roman;serif" w:hAnsi="Times New Roman;serif"/>
            <w:b w:val="false"/>
            <w:color w:val="000080"/>
            <w:sz w:val="20"/>
            <w:u w:val="single"/>
          </w:rPr>
          <w:t>, filed with the Commission on February 2</w:t>
        </w:r>
      </w:hyperlink>
      <w:hyperlink r:id="rId5">
        <w:r>
          <w:rPr>
            <w:rStyle w:val="InternetLink"/>
            <w:rFonts w:ascii="Times New Roman;serif" w:hAnsi="Times New Roman;serif"/>
            <w:b w:val="false"/>
            <w:color w:val="000080"/>
            <w:sz w:val="20"/>
            <w:u w:val="single"/>
          </w:rPr>
          <w:t>6</w:t>
        </w:r>
      </w:hyperlink>
      <w:hyperlink r:id="rId6">
        <w:r>
          <w:rPr>
            <w:rStyle w:val="InternetLink"/>
            <w:rFonts w:ascii="Times New Roman;serif" w:hAnsi="Times New Roman;serif"/>
            <w:b w:val="false"/>
            <w:color w:val="000080"/>
            <w:sz w:val="20"/>
            <w:u w:val="single"/>
          </w:rPr>
          <w:t>, 202</w:t>
        </w:r>
      </w:hyperlink>
      <w:hyperlink r:id="rId7">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0"/>
        </w:rPr>
        <w:t>;</w:t>
      </w:r>
    </w:p>
    <w:p>
      <w:pPr>
        <w:pStyle w:val="TextBody"/>
        <w:bidi w:val="0"/>
        <w:spacing w:lineRule="auto" w:line="276" w:before="0" w:after="200"/>
        <w:jc w:val="left"/>
        <w:rPr/>
      </w:pPr>
      <w:r>
        <w:rPr>
          <w:rFonts w:ascii="Times New Roman;serif" w:hAnsi="Times New Roman;serif"/>
          <w:b w:val="false"/>
          <w:color w:val="000000"/>
          <w:sz w:val="20"/>
        </w:rPr>
        <w:t xml:space="preserve">(b) The Registrant’s </w:t>
      </w:r>
      <w:hyperlink r:id="rId8">
        <w:r>
          <w:rPr>
            <w:rStyle w:val="InternetLink"/>
            <w:rFonts w:ascii="Times New Roman;serif" w:hAnsi="Times New Roman;serif"/>
            <w:b w:val="false"/>
            <w:color w:val="000080"/>
            <w:sz w:val="20"/>
            <w:u w:val="single"/>
          </w:rPr>
          <w:t>Quarterly Report on Form 10-Q for the quarter ended March 31, 202</w:t>
        </w:r>
      </w:hyperlink>
      <w:hyperlink r:id="rId9">
        <w:r>
          <w:rPr>
            <w:rStyle w:val="InternetLink"/>
            <w:rFonts w:ascii="Times New Roman;serif" w:hAnsi="Times New Roman;serif"/>
            <w:b w:val="false"/>
            <w:color w:val="000080"/>
            <w:sz w:val="20"/>
            <w:u w:val="single"/>
          </w:rPr>
          <w:t>6</w:t>
        </w:r>
      </w:hyperlink>
      <w:hyperlink r:id="rId10">
        <w:r>
          <w:rPr>
            <w:rStyle w:val="InternetLink"/>
            <w:rFonts w:ascii="Times New Roman;serif" w:hAnsi="Times New Roman;serif"/>
            <w:b w:val="false"/>
            <w:color w:val="000080"/>
            <w:sz w:val="20"/>
            <w:u w:val="single"/>
          </w:rPr>
          <w:t xml:space="preserve">, filed with the Commission on May </w:t>
        </w:r>
      </w:hyperlink>
      <w:hyperlink r:id="rId11">
        <w:r>
          <w:rPr>
            <w:rStyle w:val="InternetLink"/>
            <w:rFonts w:ascii="Times New Roman;serif" w:hAnsi="Times New Roman;serif"/>
            <w:b w:val="false"/>
            <w:color w:val="000080"/>
            <w:sz w:val="20"/>
            <w:u w:val="single"/>
          </w:rPr>
          <w:t>5</w:t>
        </w:r>
      </w:hyperlink>
      <w:hyperlink r:id="rId12">
        <w:r>
          <w:rPr>
            <w:rStyle w:val="InternetLink"/>
            <w:rFonts w:ascii="Times New Roman;serif" w:hAnsi="Times New Roman;serif"/>
            <w:b w:val="false"/>
            <w:color w:val="000080"/>
            <w:sz w:val="20"/>
            <w:u w:val="single"/>
          </w:rPr>
          <w:t>, 202</w:t>
        </w:r>
      </w:hyperlink>
      <w:hyperlink r:id="rId13">
        <w:r>
          <w:rPr>
            <w:rStyle w:val="InternetLink"/>
            <w:rFonts w:ascii="Times New Roman;serif" w:hAnsi="Times New Roman;serif"/>
            <w:b w:val="false"/>
            <w:color w:val="000080"/>
            <w:sz w:val="20"/>
            <w:u w:val="single"/>
          </w:rPr>
          <w:t>6</w:t>
        </w:r>
      </w:hyperlink>
      <w:hyperlink r:id="rId14">
        <w:r>
          <w:rPr>
            <w:rStyle w:val="InternetLink"/>
            <w:rFonts w:ascii="Times New Roman;serif" w:hAnsi="Times New Roman;serif"/>
            <w:b w:val="false"/>
            <w:color w:val="000080"/>
            <w:sz w:val="20"/>
            <w:u w:val="single"/>
          </w:rPr>
          <w:t>;</w:t>
        </w:r>
      </w:hyperlink>
    </w:p>
    <w:p>
      <w:pPr>
        <w:pStyle w:val="TextBody"/>
        <w:bidi w:val="0"/>
        <w:spacing w:lineRule="auto" w:line="276" w:before="0" w:after="200"/>
        <w:jc w:val="left"/>
        <w:rPr/>
      </w:pPr>
      <w:r>
        <w:rPr>
          <w:rFonts w:ascii="Times New Roman;serif" w:hAnsi="Times New Roman;serif"/>
          <w:b w:val="false"/>
          <w:color w:val="000000"/>
          <w:sz w:val="20"/>
        </w:rPr>
        <w:t xml:space="preserve">(c) The Registrant’s Current Reports on Form 8-K, filed with the Commission on </w:t>
      </w:r>
      <w:hyperlink r:id="rId15">
        <w:r>
          <w:rPr>
            <w:rStyle w:val="InternetLink"/>
            <w:rFonts w:ascii="Times New Roman;serif" w:hAnsi="Times New Roman;serif"/>
            <w:b w:val="false"/>
            <w:color w:val="0000FF"/>
            <w:sz w:val="20"/>
            <w:u w:val="single"/>
          </w:rPr>
          <w:t>January 9, 2026</w:t>
        </w:r>
      </w:hyperlink>
      <w:r>
        <w:rPr>
          <w:color w:val="000000"/>
        </w:rPr>
        <w:t xml:space="preserve"> </w:t>
      </w:r>
      <w:r>
        <w:rPr>
          <w:rFonts w:ascii="Times New Roman;serif" w:hAnsi="Times New Roman;serif"/>
          <w:b w:val="false"/>
          <w:color w:val="000000"/>
          <w:sz w:val="20"/>
        </w:rPr>
        <w:t xml:space="preserve">(solely with respect to Item 8.01, </w:t>
      </w:r>
      <w:hyperlink r:id="rId16">
        <w:r>
          <w:rPr>
            <w:rStyle w:val="InternetLink"/>
            <w:rFonts w:ascii="Times New Roman;serif" w:hAnsi="Times New Roman;serif"/>
            <w:b w:val="false"/>
            <w:color w:val="000080"/>
            <w:sz w:val="20"/>
            <w:u w:val="single"/>
          </w:rPr>
          <w:t>March 2</w:t>
        </w:r>
      </w:hyperlink>
      <w:hyperlink r:id="rId17">
        <w:r>
          <w:rPr>
            <w:rStyle w:val="InternetLink"/>
            <w:rFonts w:ascii="Times New Roman;serif" w:hAnsi="Times New Roman;serif"/>
            <w:b w:val="false"/>
            <w:color w:val="000080"/>
            <w:sz w:val="20"/>
            <w:u w:val="single"/>
          </w:rPr>
          <w:t>, 2026</w:t>
        </w:r>
      </w:hyperlink>
      <w:r>
        <w:rPr>
          <w:color w:val="000000"/>
        </w:rPr>
        <w:t xml:space="preserve"> </w:t>
      </w:r>
      <w:r>
        <w:rPr>
          <w:rFonts w:ascii="Times New Roman;serif" w:hAnsi="Times New Roman;serif"/>
          <w:b w:val="false"/>
          <w:color w:val="000000"/>
          <w:sz w:val="20"/>
        </w:rPr>
        <w:t xml:space="preserve">(solely with respect to Item 8.01), </w:t>
      </w:r>
      <w:hyperlink r:id="rId18">
        <w:r>
          <w:rPr>
            <w:rStyle w:val="InternetLink"/>
            <w:rFonts w:ascii="Times New Roman;serif" w:hAnsi="Times New Roman;serif"/>
            <w:b w:val="false"/>
            <w:color w:val="0000FF"/>
            <w:sz w:val="20"/>
            <w:u w:val="single"/>
          </w:rPr>
          <w:t>March 16, 2026</w:t>
        </w:r>
      </w:hyperlink>
      <w:r>
        <w:rPr>
          <w:color w:val="000000"/>
        </w:rPr>
        <w:t xml:space="preserve"> </w:t>
      </w:r>
      <w:r>
        <w:rPr>
          <w:rFonts w:ascii="Times New Roman;serif" w:hAnsi="Times New Roman;serif"/>
          <w:b w:val="false"/>
          <w:color w:val="000000"/>
          <w:sz w:val="20"/>
        </w:rPr>
        <w:t xml:space="preserve">(solely with respect to Item 8.01), </w:t>
      </w:r>
      <w:hyperlink r:id="rId19">
        <w:r>
          <w:rPr>
            <w:rStyle w:val="InternetLink"/>
            <w:rFonts w:ascii="Times New Roman;serif" w:hAnsi="Times New Roman;serif"/>
            <w:b w:val="false"/>
            <w:color w:val="000080"/>
            <w:sz w:val="20"/>
            <w:u w:val="single"/>
          </w:rPr>
          <w:t>March 20</w:t>
        </w:r>
      </w:hyperlink>
      <w:hyperlink r:id="rId20">
        <w:r>
          <w:rPr>
            <w:rStyle w:val="InternetLink"/>
            <w:rFonts w:ascii="Times New Roman;serif" w:hAnsi="Times New Roman;serif"/>
            <w:b w:val="false"/>
            <w:color w:val="000080"/>
            <w:sz w:val="20"/>
            <w:u w:val="single"/>
          </w:rPr>
          <w:t>, 202</w:t>
        </w:r>
      </w:hyperlink>
      <w:hyperlink r:id="rId21">
        <w:r>
          <w:rPr>
            <w:rStyle w:val="InternetLink"/>
            <w:rFonts w:ascii="Times New Roman;serif" w:hAnsi="Times New Roman;serif"/>
            <w:b w:val="false"/>
            <w:color w:val="000080"/>
            <w:sz w:val="20"/>
            <w:u w:val="single"/>
          </w:rPr>
          <w:t>6</w:t>
        </w:r>
      </w:hyperlink>
      <w:r>
        <w:rPr>
          <w:color w:val="000000"/>
        </w:rPr>
        <w:t xml:space="preserve"> </w:t>
      </w:r>
      <w:r>
        <w:rPr>
          <w:rFonts w:ascii="Times New Roman;serif" w:hAnsi="Times New Roman;serif"/>
          <w:b w:val="false"/>
          <w:color w:val="000000"/>
          <w:sz w:val="20"/>
        </w:rPr>
        <w:t xml:space="preserve">(solely with respect to Item 8.01), </w:t>
      </w:r>
      <w:hyperlink r:id="rId22">
        <w:r>
          <w:rPr>
            <w:rStyle w:val="InternetLink"/>
            <w:rFonts w:ascii="Times New Roman;serif" w:hAnsi="Times New Roman;serif"/>
            <w:b w:val="false"/>
            <w:color w:val="000080"/>
            <w:sz w:val="20"/>
            <w:u w:val="single"/>
          </w:rPr>
          <w:t xml:space="preserve">March </w:t>
        </w:r>
      </w:hyperlink>
      <w:hyperlink r:id="rId23">
        <w:r>
          <w:rPr>
            <w:rStyle w:val="InternetLink"/>
            <w:rFonts w:ascii="Times New Roman;serif" w:hAnsi="Times New Roman;serif"/>
            <w:b w:val="false"/>
            <w:color w:val="000080"/>
            <w:sz w:val="20"/>
            <w:u w:val="single"/>
          </w:rPr>
          <w:t>2</w:t>
        </w:r>
      </w:hyperlink>
      <w:hyperlink r:id="rId24">
        <w:r>
          <w:rPr>
            <w:rStyle w:val="InternetLink"/>
            <w:rFonts w:ascii="Times New Roman;serif" w:hAnsi="Times New Roman;serif"/>
            <w:b w:val="false"/>
            <w:color w:val="000080"/>
            <w:sz w:val="20"/>
            <w:u w:val="single"/>
          </w:rPr>
          <w:t>6, 202</w:t>
        </w:r>
      </w:hyperlink>
      <w:hyperlink r:id="rId25">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0"/>
        </w:rPr>
        <w:t xml:space="preserve">, (solely with respect to Item 8.01), </w:t>
      </w:r>
      <w:hyperlink r:id="rId26">
        <w:r>
          <w:rPr>
            <w:rStyle w:val="InternetLink"/>
            <w:rFonts w:ascii="Times New Roman;serif" w:hAnsi="Times New Roman;serif"/>
            <w:b w:val="false"/>
            <w:color w:val="000080"/>
            <w:sz w:val="20"/>
            <w:u w:val="single"/>
          </w:rPr>
          <w:t xml:space="preserve">April 3, </w:t>
        </w:r>
      </w:hyperlink>
      <w:hyperlink r:id="rId27">
        <w:r>
          <w:rPr>
            <w:rStyle w:val="InternetLink"/>
            <w:rFonts w:ascii="Times New Roman;serif" w:hAnsi="Times New Roman;serif"/>
            <w:b w:val="false"/>
            <w:color w:val="000080"/>
            <w:sz w:val="20"/>
            <w:u w:val="single"/>
          </w:rPr>
          <w:t>2026</w:t>
        </w:r>
      </w:hyperlink>
      <w:r>
        <w:rPr>
          <w:color w:val="000000"/>
        </w:rPr>
        <w:t xml:space="preserve"> </w:t>
      </w:r>
      <w:r>
        <w:rPr>
          <w:rFonts w:ascii="Times New Roman;serif" w:hAnsi="Times New Roman;serif"/>
          <w:b w:val="false"/>
          <w:color w:val="000000"/>
          <w:sz w:val="20"/>
        </w:rPr>
        <w:t xml:space="preserve">(solely with respect to Item 5.02), and </w:t>
      </w:r>
      <w:hyperlink r:id="rId28">
        <w:r>
          <w:rPr>
            <w:rStyle w:val="InternetLink"/>
            <w:rFonts w:ascii="Times New Roman;serif" w:hAnsi="Times New Roman;serif"/>
            <w:b w:val="false"/>
            <w:color w:val="000080"/>
            <w:sz w:val="20"/>
            <w:u w:val="single"/>
          </w:rPr>
          <w:t>May 5, 2026</w:t>
        </w:r>
      </w:hyperlink>
      <w:hyperlink r:id="rId2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rPr>
        <w:t>(solely with respect to Item 8.01); and</w:t>
      </w:r>
    </w:p>
    <w:p>
      <w:pPr>
        <w:pStyle w:val="TextBody"/>
        <w:bidi w:val="0"/>
        <w:spacing w:lineRule="auto" w:line="276" w:before="0" w:after="200"/>
        <w:jc w:val="left"/>
        <w:rPr/>
      </w:pPr>
      <w:r>
        <w:rPr>
          <w:rFonts w:ascii="Times New Roman;serif" w:hAnsi="Times New Roman;serif"/>
          <w:b w:val="false"/>
          <w:color w:val="000000"/>
          <w:sz w:val="20"/>
        </w:rPr>
        <w:t xml:space="preserve">(d) The Registrant's Registration Statement on </w:t>
      </w:r>
      <w:hyperlink r:id="rId30">
        <w:r>
          <w:rPr>
            <w:rStyle w:val="InternetLink"/>
            <w:rFonts w:ascii="Times New Roman;serif" w:hAnsi="Times New Roman;serif"/>
            <w:b w:val="false"/>
            <w:color w:val="0000FF"/>
            <w:sz w:val="20"/>
            <w:u w:val="single"/>
          </w:rPr>
          <w:t>Form 8-A filed with the Commission on September 29, 2017</w:t>
        </w:r>
      </w:hyperlink>
      <w:r>
        <w:rPr>
          <w:color w:val="000000"/>
        </w:rPr>
        <w:t xml:space="preserve"> </w:t>
      </w:r>
      <w:r>
        <w:rPr>
          <w:rFonts w:ascii="Times New Roman;serif" w:hAnsi="Times New Roman;serif"/>
          <w:b w:val="false"/>
          <w:color w:val="000000"/>
          <w:sz w:val="20"/>
        </w:rPr>
        <w:t xml:space="preserve">pursuant to Section 12(b) of the Securities Act of 1933, as amended (the “Securities Act”), relating to the Registrant’s common stock, 0.001 par value per share, as updated by “Description of the Registrant’s Securities registered pursuant to Section 12 of the Securities Exchange Act of 1934” filed as </w:t>
      </w:r>
      <w:hyperlink r:id="rId31">
        <w:r>
          <w:rPr>
            <w:rStyle w:val="InternetLink"/>
            <w:rFonts w:ascii="Times New Roman;serif" w:hAnsi="Times New Roman;serif"/>
            <w:b w:val="false"/>
            <w:color w:val="000000"/>
            <w:sz w:val="20"/>
            <w:u w:val="single"/>
          </w:rPr>
          <w:t>Exhibit 4.3 to the Registrant’s Annual Report on Form 10-K for the fiscal year ended December 31, 2023</w:t>
        </w:r>
      </w:hyperlink>
      <w:r>
        <w:rPr>
          <w:rFonts w:ascii="Times New Roman;serif" w:hAnsi="Times New Roman;serif"/>
          <w:b w:val="false"/>
          <w:color w:val="000000"/>
          <w:sz w:val="20"/>
        </w:rPr>
        <w:t>, and any amendment or report filed for the purpose of updating such description.</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filed by the Registrant with the Commission pursuant to Sections 13(a), 13(c), 14 and 15(d) of the Securities Exchange Act of 1934, as amended (the “Exchange Act”) after the date hereof (except for any portions of the Registrant’s Current Reports on Form 8-K furnished pursuant to Item 2.02 and/or Item 7.01 thereof and any corresponding exhibits thereto not filed with the Commission) and prior to the filing of a post-effective amendment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Registration Statement, which indicates that all securities offered hereby have been sold or which deregisters all securities then remaining unsold, shall be deemed to be incorporated by reference herein and to be a part hereof from the date of filing of such documents or reports.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statement so modified or superseded shall not be deemed, except as so modified or superseded, to constitute a part of this Registration Statement, except as to specific portions of such statements as set forth therein.</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Under no circumstances shall any information furnished under Item 2.02 and/or Item 7.01 of a Current Report on Form 8-K and any corresponding exhibits thereto be deemed incorporated herein by reference unless such Current Report on Form 8-K expressly provides to the contrary.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 xml:space="preserve">Item 4. Description of Securities. </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The deferred compensation obligations (“Obligations”) being registered pursuant to the Plan represent obligations of the Registrant to pay deferred cash-based compensation in the future in accordance with the terms of the Plan, which is filed as an exhibit to this Registration Statement. Subject to the terms and conditions set forth in the Plan, eligible directors of the Registrant (“Participants”) are entitled to defer a portion of their annual cash retainer fees, restricted stock units and performance units, and such deferred amounts are credited to the Participant’s accounts under the Plan. The Obligations being registered relate solely to the Registrant’s obligation to pay deferred cash-based compensation (and not the restricted stock units and performance units).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The Obligations are general unsecured obligations of the Registrant subject to the claims of its general creditors. The Plan is considered entirely unfunded for tax purposes.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Under the Plan, cash-based compensation amounts credited to a Participant’s accounts are allocated to one or more deemed investment alternatives chosen by each Participant from a range of such alternatives available under the Plan. Each Participant’s accounts will be adjusted to reflect the notional investment performance of the selected investment alternative(s), including any appreciation or depreciation. The Obligations are payable in cash and generally will be paid in either a single lump-sum or in annual installments upon, as elected by the Participant, the Participant’s separation from service or a scheduled year. In the event of an unforeseeable financial hardship, the Participant may elect to receive some or all of the deferred amounts and related earnings, subject to approval by the administrator of the Plan.</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A Participant may designate one or more beneficiaries to receive any portion of the Obligations payable in the event of death. Participants or beneficiaries may not anticipate, sell, transfer, assign, encumber or otherwise dispose of any right or interest in the Plan. The Registrant reserves the right to amend or terminate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 xml:space="preserve">Item 5. Interests of Named Experts and Counsel. </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 xml:space="preserve">Item 6. Indemnification of Directors and Officers. </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authorizes a corporation’s board of directors to grant, and authorizes a court to award, indemnity to officers, directors, employees, and other corporate agents.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As permitted by Delaware law, our amended and restated certificate of incorporation provides that, to the fullest extent permitted by Delaware law, no director will be personally liable to us or our stockholders for monetary damages for breach of fiduciary duty as a director. Pursuant to Delaware law such protection would be not available for liability:</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for any breach of a duty of loyalty to us or our stockholders;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for acts or omissions not in good faith or which involve intentional misconduct or a knowing violation of law;</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for unlawful payments of dividends or unlawful stock repurchases or redemptions as provided in Section 174 of the Delaware General Corporation Law; or</w:t>
      </w:r>
    </w:p>
    <w:p>
      <w:pPr>
        <w:pStyle w:val="TextBody"/>
        <w:bidi w:val="0"/>
        <w:spacing w:lineRule="auto" w:line="276" w:before="0" w:after="200"/>
        <w:ind w:left="0" w:right="0" w:hanging="360"/>
        <w:jc w:val="left"/>
        <w:rPr/>
      </w:pPr>
      <w:r>
        <w:rPr>
          <w:color w:val="000000"/>
        </w:rPr>
        <w:t>•</w:t>
      </w:r>
      <w:r>
        <w:rPr>
          <w:rFonts w:ascii="Times New Roman;serif" w:hAnsi="Times New Roman;serif"/>
          <w:b w:val="false"/>
          <w:color w:val="000000"/>
          <w:sz w:val="20"/>
        </w:rPr>
        <w:t>for any transactions from which the director derived an improper personal benefit.</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further provide that we must indemnify our directors and officers to the fullest extent authorized by applicable law. Our amended and restated bylaws also authorize us to indemnify any of our employees or agents and permit us to secure insurance on behalf of any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director, employee or agent for any liability arising out of his or her action in that capacity, whether or not our amended and restated bylaws or Delaware law would otherwise permit indemnification.</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our amended and restated bylaws also provide that we are required to advance expenses to our directors and officers as incurred in connection with legal proceedings against them for which they may be indemnified and that the rights conferred in the amended and restated bylaws are not exclusive.</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and executive officers. These agreements, among other things, require us to indemnify each director and officer to the fullest extent permitted by Delaware law, our amended and restated certificate of incorporation and our amended and restated bylaws, for expenses such as, among other things, attorneys’ and experts’ fees, judgments, fines, penalties,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 xml:space="preserve">Item 7. Exemption from Registration Claimed. </w:t>
      </w:r>
    </w:p>
    <w:p>
      <w:pPr>
        <w:pStyle w:val="TextBody"/>
        <w:bidi w:val="0"/>
        <w:spacing w:lineRule="auto" w:line="276" w:before="0" w:after="4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2639"/>
        <w:gridCol w:w="2639"/>
        <w:gridCol w:w="377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erif" w:hAnsi="Times New Roman;serif"/>
                  <w:b w:val="false"/>
                  <w:color w:val="000000"/>
                  <w:sz w:val="20"/>
                  <w:u w:val="single"/>
                </w:rPr>
                <w:t>Amended and Restated Certificate of Incorporation of Rhythm Pharmaceuticals, Inc. and Certificate of Amendment (incorporated by reference to Exhibit 3.1 to Rhythm Pharmaceuticals, Inc.’s Current Report on Form 8-K (File No. 001-38223) filed on June 26, 2025)</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erif" w:hAnsi="Times New Roman;serif"/>
                  <w:b w:val="false"/>
                  <w:color w:val="000000"/>
                  <w:sz w:val="20"/>
                  <w:u w:val="single"/>
                </w:rPr>
                <w:t>Amended and Restated Certificate of Designations of Rhythm Pharmaceuticals, Inc. (incorporated by reference to Exhibit 3.4 to Rhythm Pharmaceuticals, Inc.’s Quarterly Report on Form 10-Q (File No. 001 38223) filed on May 7, 2024)</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00"/>
                  <w:sz w:val="20"/>
                  <w:u w:val="single"/>
                </w:rPr>
                <w:t>Amended and Restated Bylaws of Rhythm Pharmaceuticals, Inc. (incorporated by reference to Exhibit 3.1 to Rhythm Pharmaceuticals, Inc.’s Current Report on Form 8-K (File No. 001-38223) filed on December 18, 2023)</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hythm-2026dcpdirectorss.htm">
              <w:r>
                <w:rPr>
                  <w:rStyle w:val="InternetLink"/>
                  <w:rFonts w:ascii="Times New Roman;serif" w:hAnsi="Times New Roman;serif"/>
                  <w:b w:val="false"/>
                  <w:color w:val="0000FF"/>
                  <w:sz w:val="20"/>
                  <w:u w:val="single"/>
                </w:rPr>
                <w:t>Opinion of Latham &amp; Watkins LLP</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ytmq12026s-8consent.htm">
              <w:r>
                <w:rPr>
                  <w:rStyle w:val="InternetLink"/>
                  <w:rFonts w:ascii="Times New Roman;serif" w:hAnsi="Times New Roman;serif"/>
                  <w:b w:val="false"/>
                  <w:color w:val="0000FF"/>
                  <w:sz w:val="20"/>
                  <w:u w:val="single"/>
                </w:rPr>
                <w:t>Consent of Ernst &amp; Young LLP, Independent Registered Public Accounting Firm</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hythm-2026dcpdirectorss.htm">
              <w:r>
                <w:rPr>
                  <w:rStyle w:val="InternetLink"/>
                  <w:rFonts w:ascii="Times New Roman;serif" w:hAnsi="Times New Roman;serif"/>
                  <w:b w:val="false"/>
                  <w:color w:val="000080"/>
                  <w:sz w:val="20"/>
                  <w:u w:val="single"/>
                </w:rPr>
                <w:t>Co</w:t>
              </w:r>
            </w:hyperlink>
            <w:hyperlink w:anchor="rhythm-2026dcpdirectorss.htm">
              <w:r>
                <w:rPr>
                  <w:rStyle w:val="InternetLink"/>
                  <w:rFonts w:ascii="Times New Roman;serif" w:hAnsi="Times New Roman;serif"/>
                  <w:b w:val="false"/>
                  <w:color w:val="000080"/>
                  <w:sz w:val="20"/>
                  <w:u w:val="single"/>
                </w:rPr>
                <w:t>nsent of Latham &amp; Watkins LLP (included in Exhibit 5.1)</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52a57d62194481bf0b8105d6838bce_13">
              <w:r>
                <w:rPr>
                  <w:rStyle w:val="InternetLink"/>
                  <w:rFonts w:ascii="Times New Roman;serif" w:hAnsi="Times New Roman;serif"/>
                  <w:b w:val="false"/>
                  <w:color w:val="0000FF"/>
                  <w:sz w:val="20"/>
                  <w:u w:val="single"/>
                </w:rPr>
                <w:t>Power of Attorney (included on signature page)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erif" w:hAnsi="Times New Roman;serif"/>
                  <w:b w:val="false"/>
                  <w:color w:val="0000FF"/>
                  <w:sz w:val="20"/>
                  <w:u w:val="single"/>
                </w:rPr>
                <w:t>Rhythm Pharmaceuticals, Inc. Deferred Compensation Plan (Directors) (incorporated by reference to Exhibit 10.1 to Rhythm Pharmaceuticals Inc.'s Quarterly Report on Form 10-Q (File No. 001-38223) filed on May 5,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 xml:space="preserve">Item 9. Undertakings. </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than a 20% change in the maximum aggregate offering price set forth in the “Calculation of Filing Fee” table in the effective Registration Statement; and</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76" w:before="0" w:after="200"/>
        <w:jc w:val="left"/>
        <w:rPr/>
      </w:pPr>
      <w:r>
        <w:rPr>
          <w:rFonts w:ascii="Times New Roman;serif" w:hAnsi="Times New Roman;serif"/>
          <w:b w:val="false"/>
          <w:i/>
          <w:color w:val="000000"/>
          <w:sz w:val="20"/>
        </w:rPr>
        <w:t>provided, however, that</w:t>
      </w:r>
      <w:r>
        <w:rPr>
          <w:color w:val="000000"/>
        </w:rPr>
        <w:t xml:space="preserve"> </w:t>
      </w:r>
      <w:r>
        <w:rPr>
          <w:rFonts w:ascii="Times New Roman;serif" w:hAnsi="Times New Roman;serif"/>
          <w:b w:val="false"/>
          <w:color w:val="000000"/>
          <w:sz w:val="20"/>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May 5, 2026.</w:t>
      </w:r>
    </w:p>
    <w:tbl>
      <w:tblPr>
        <w:tblW w:w="6919" w:type="dxa"/>
        <w:jc w:val="left"/>
        <w:tblInd w:w="0" w:type="dxa"/>
        <w:tblLayout w:type="fixed"/>
        <w:tblCellMar>
          <w:top w:w="28" w:type="dxa"/>
          <w:left w:w="28" w:type="dxa"/>
          <w:bottom w:w="28" w:type="dxa"/>
          <w:right w:w="28" w:type="dxa"/>
        </w:tblCellMar>
      </w:tblPr>
      <w:tblGrid>
        <w:gridCol w:w="616"/>
        <w:gridCol w:w="542"/>
        <w:gridCol w:w="542"/>
        <w:gridCol w:w="1525"/>
        <w:gridCol w:w="1525"/>
        <w:gridCol w:w="2169"/>
      </w:tblGrid>
      <w:tr>
        <w:trPr/>
        <w:tc>
          <w:tcPr>
            <w:tcW w:w="6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69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RHYTHM PHARMACEUTICALS, INC.</w:t>
            </w:r>
          </w:p>
        </w:tc>
      </w:tr>
      <w:tr>
        <w:trPr/>
        <w:tc>
          <w:tcPr>
            <w:tcW w:w="17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David P. Meeker, M.D. </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Meeker, M.D.</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President and Chairman of the Board</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hereby constitutes and appoints David P. Meeker, M.D. and Hunter C. Smith,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 and agents, and each of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them, full power and authority to do and perform each and every act and thing requisite and necessary or desirable to be done in connection therewith as fully to all intents and purposes as 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 indicated.</w:t>
      </w:r>
    </w:p>
    <w:tbl>
      <w:tblPr>
        <w:tblW w:w="8001" w:type="dxa"/>
        <w:jc w:val="left"/>
        <w:tblInd w:w="0" w:type="dxa"/>
        <w:tblLayout w:type="fixed"/>
        <w:tblCellMar>
          <w:top w:w="28" w:type="dxa"/>
          <w:left w:w="28" w:type="dxa"/>
          <w:bottom w:w="28" w:type="dxa"/>
          <w:right w:w="28" w:type="dxa"/>
        </w:tblCellMar>
      </w:tblPr>
      <w:tblGrid>
        <w:gridCol w:w="797"/>
        <w:gridCol w:w="701"/>
        <w:gridCol w:w="706"/>
        <w:gridCol w:w="109"/>
        <w:gridCol w:w="109"/>
        <w:gridCol w:w="109"/>
        <w:gridCol w:w="1299"/>
        <w:gridCol w:w="1299"/>
        <w:gridCol w:w="1316"/>
        <w:gridCol w:w="109"/>
        <w:gridCol w:w="109"/>
        <w:gridCol w:w="109"/>
        <w:gridCol w:w="358"/>
        <w:gridCol w:w="358"/>
        <w:gridCol w:w="513"/>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P. Meeker,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May 5, 2026 </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Meeker,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Hunter C.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May 5, 2026 </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Hunter C.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P. German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May 5, 2026 </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P. German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Lynn A. Tetrault,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May 5, 2026 </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Lynn A. Tetrault,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Stuart Arbuckle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May 5, 2026 </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Stuart Arbuckle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L. Good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Jennifer L. Good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 R. Jean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 R. Jean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W. J. McGirr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David W. J. McGirr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Kimberly J. Popovits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Kimberly J. Popovits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520"/>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70" w:type="dxa"/>
        <w:jc w:val="left"/>
        <w:tblInd w:w="0" w:type="dxa"/>
        <w:tblLayout w:type="fixed"/>
        <w:tblCellMar>
          <w:top w:w="28" w:type="dxa"/>
          <w:left w:w="28" w:type="dxa"/>
          <w:bottom w:w="28" w:type="dxa"/>
          <w:right w:w="28" w:type="dxa"/>
        </w:tblCellMar>
      </w:tblPr>
      <w:tblGrid>
        <w:gridCol w:w="4516"/>
        <w:gridCol w:w="154"/>
      </w:tblGrid>
      <w:tr>
        <w:trPr/>
        <w:tc>
          <w:tcPr>
            <w:tcW w:w="46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b/>
              </w:rPr>
            </w:pPr>
            <w:r>
              <w:rPr>
                <w:b/>
              </w:rPr>
              <w:t xml:space="preserve">RHYTHM PHARMACEUTICALS,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44" w:type="dxa"/>
        <w:jc w:val="left"/>
        <w:tblInd w:w="0" w:type="dxa"/>
        <w:tblLayout w:type="fixed"/>
        <w:tblCellMar>
          <w:top w:w="28" w:type="dxa"/>
          <w:left w:w="28" w:type="dxa"/>
          <w:bottom w:w="28" w:type="dxa"/>
          <w:right w:w="28" w:type="dxa"/>
        </w:tblCellMar>
      </w:tblPr>
      <w:tblGrid>
        <w:gridCol w:w="241"/>
        <w:gridCol w:w="946"/>
        <w:gridCol w:w="1471"/>
        <w:gridCol w:w="1276"/>
        <w:gridCol w:w="1186"/>
        <w:gridCol w:w="1156"/>
        <w:gridCol w:w="154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Other </w:t>
            </w:r>
          </w:p>
        </w:tc>
        <w:tc>
          <w:tcPr>
            <w:tcW w:w="1471" w:type="dxa"/>
            <w:tcBorders/>
            <w:shd w:fill="E7E7E2" w:val="clear"/>
            <w:vAlign w:val="center"/>
          </w:tcPr>
          <w:p>
            <w:pPr>
              <w:pStyle w:val="TableContents"/>
              <w:bidi w:val="0"/>
              <w:spacing w:before="0" w:after="283"/>
              <w:jc w:val="left"/>
              <w:rPr/>
            </w:pPr>
            <w:r>
              <w:rPr/>
              <w:t xml:space="preserve">Deferred Compensation Obligations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1,500,000 </w:t>
            </w:r>
          </w:p>
        </w:tc>
        <w:tc>
          <w:tcPr>
            <w:tcW w:w="1156" w:type="dxa"/>
            <w:tcBorders/>
            <w:shd w:fill="E7E7E2" w:val="clear"/>
            <w:vAlign w:val="center"/>
          </w:tcPr>
          <w:p>
            <w:pPr>
              <w:pStyle w:val="TableContents"/>
              <w:bidi w:val="0"/>
              <w:spacing w:before="0" w:after="283"/>
              <w:jc w:val="right"/>
              <w:rPr/>
            </w:pPr>
            <w:r>
              <w:rPr/>
              <w:t xml:space="preserve">$ 1.00 </w:t>
            </w:r>
          </w:p>
        </w:tc>
        <w:tc>
          <w:tcPr>
            <w:tcW w:w="1546" w:type="dxa"/>
            <w:tcBorders/>
            <w:shd w:fill="E7E7E2" w:val="clear"/>
            <w:vAlign w:val="center"/>
          </w:tcPr>
          <w:p>
            <w:pPr>
              <w:pStyle w:val="TableContents"/>
              <w:bidi w:val="0"/>
              <w:spacing w:before="0" w:after="283"/>
              <w:jc w:val="right"/>
              <w:rPr/>
            </w:pPr>
            <w:r>
              <w:rPr/>
              <w:t xml:space="preserve">$ 1,500,000.00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$ 207.15 </w:t>
            </w:r>
          </w:p>
        </w:tc>
      </w:tr>
      <w:tr>
        <w:trPr/>
        <w:tc>
          <w:tcPr>
            <w:tcW w:w="512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4" w:name="MaxAggtOfferingPrice"/>
            <w:bookmarkEnd w:id="4"/>
            <w:r>
              <w:rPr/>
              <w:t xml:space="preserve">$ 1,500,000.00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$ 207.15 </w:t>
            </w:r>
          </w:p>
        </w:tc>
      </w:tr>
      <w:tr>
        <w:trPr/>
        <w:tc>
          <w:tcPr>
            <w:tcW w:w="512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512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 w:name="NetFeeAmt"/>
            <w:bookmarkEnd w:id="7"/>
            <w:r>
              <w:rPr/>
              <w:t xml:space="preserve">$ 207.15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8"/>
        <w:gridCol w:w="8705"/>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The deferred compensation obligations being registered are general unsecured obligations of Rhythm Pharmaceuticals, Inc. to pay deferred compensation in accordance with the terms of the Rhythm Pharmaceuticals, Inc. Deferred Compensation Plan (Directors) (the "Deferred Compensation Plan"). In accordance with Rule 416(a) under the Securities Act of 1933, as amended (the "Securities Act"), this registration statement shall be deemed to cover any additional securities that may from time to time be offered or issued under the Deferred Compensation Plan to prevent dilution resulting from stock splits, stock dividends or similar transactions. Estimated solely for the purpose of calculating the registration fee pursuant to Rule 457(h) of the Securities Act, based upon an estimate of the amount of compensation participants may defer under the Deferred Compensation Plan.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8" w:name="rhythm-2026dcpdirectorss.htm"/>
      <w:bookmarkStart w:id="9" w:name="ksrhythm2026dcpdirectorss"/>
      <w:bookmarkEnd w:id="8"/>
      <w:bookmarkEnd w:id="9"/>
      <w:r>
        <w:rPr/>
        <w:drawing>
          <wp:inline distT="0" distB="0" distL="0" distR="0">
            <wp:extent cx="10048875" cy="130016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US-DOCS\171129919.3 200 Clarendon Street Boston, Massachusetts 02116 Tel: +1.617.948.6000 Fax: +1.617.948.6001 www.lw.com FIRM / AFFILIATE OFFICES Austin Milan Beijing Munich Boston New York Brussels Orange County Chicago Paris Dubai Riyadh Düsseldorf San Diego Frankfurt San Francisco Hamburg Seoul Hong Kong Silicon Valley Houston Singapore London Tel Aviv Los Angeles Tokyo Madrid Washington, D.C. May 5, 2026 Rhythm Pharmaceuticals, Inc. 222 Berkeley Street 12th Floor Boston, MA 02116 Re: Registration Statement on Form S-8 To the addressee set forth above: We have acted as special counsel to Rhythm Pharmaceuticals, Inc., a Delaware corporation (the “Company”), in connection with the registration on Form S-8 (the “Registration Statement”) under the Securities Act of 1933, as amended (the “Act”) of $1,500,000 of deferred compensation obligations (the “Obligations”) issuable pursuant to the Rhythm Pharmaceuticals, Inc. Deferred Compensation Plan (Directors) (the “Plan”) on May 5, 2026.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Obligations. 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to the extent applicable, and we express no opinion with respect to any other laws, including, in the case of the State of Delaware, as to any matters of municipal law or the laws of any local agencies within any state. Our opinion is based upon our consideration of only those statutes, regulations and reported decisional law which in our experience are normally applicable to deferred compensation plans. Subject to the foregoing and the other matters set forth herein, it is our opinion that, as of the date hereof, the Obligations, when incurred in the manner contemplated by the Plan and subject to the Company completing all actions and proceedings required on its part to be taken EXHIBIT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5, 2026 Page 2 US-DOCS\171129919.3 under the terms of the Plan, will be legally valid and binding obligations of the Company enforceable against the Company in accordance with the terms of the Plan. Our opinion is subject to: (i) the effect of bankruptcy, insolvency, reorganization, fraudulent transfer, moratorium or other similar laws now or hereafter in effect relating to or affecting the rights or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effect of the laws of usury or other laws or equitable principles relating to or limiting the interest rate payable on indebtedness. We express no opinion as to (x) consents to, or restrictions upon, governing law, jurisdiction, venue, remedies, or judicial relief, (y) provisions authorizing or validating conclusive or discretionary determinations, and (z) the severability, if invalid, of provisions to the foregoing effect. In addition, we express no opinion with respect to any obligations or liabilities of any other person or entity under the Plan. We further express no opinion with respect to the liabilities or obligations of the Company, or any other person or entity, under any trust agreement entered into or that may be entered into in connection with the Plan, and we express no opinion with respect to the applicability to, or the effect on, any such trust agreement or any other laws. 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Securities and Exchange Commission thereunder. Sincerely,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 (Form S-8) pertaining to the Rhythm Pharmaceuticals, Inc. Deferred Compensation Plan (Directors), of our report dated February 26, 2026, with respect to the consolidated financial statements of Rhythm Pharmaceuticals, Inc. and the effectiveness of internal control over financial reporting of Rhythm Pharmaceuticals, Inc.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Boston, Massachusetts</w:t>
      </w:r>
    </w:p>
    <w:p>
      <w:pPr>
        <w:pStyle w:val="TextBody"/>
        <w:bidi w:val="0"/>
        <w:spacing w:lineRule="auto" w:line="297" w:before="0" w:after="160"/>
        <w:jc w:val="left"/>
        <w:rPr>
          <w:rFonts w:ascii="Arial;sans-serif" w:hAnsi="Arial;sans-serif"/>
          <w:b w:val="false"/>
          <w:color w:val="000000"/>
          <w:sz w:val="20"/>
        </w:rPr>
      </w:pPr>
      <w:r>
        <w:rPr>
          <w:rFonts w:ascii="Arial;sans-serif" w:hAnsi="Arial;sans-serif"/>
          <w:b w:val="false"/>
          <w:color w:val="000000"/>
          <w:sz w:val="20"/>
        </w:rPr>
        <w:t>May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904/000162828026012399/rytm-20251231.htm" TargetMode="External"/><Relationship Id="rId3" Type="http://schemas.openxmlformats.org/officeDocument/2006/relationships/hyperlink" Target="https://www.sec.gov/Archives/edgar/data/1649904/000162828026012399/rytm-20251231.htm" TargetMode="External"/><Relationship Id="rId4" Type="http://schemas.openxmlformats.org/officeDocument/2006/relationships/hyperlink" Target="https://www.sec.gov/Archives/edgar/data/1649904/000162828026012399/rytm-20251231.htm" TargetMode="External"/><Relationship Id="rId5" Type="http://schemas.openxmlformats.org/officeDocument/2006/relationships/hyperlink" Target="https://www.sec.gov/Archives/edgar/data/1649904/000162828026012399/rytm-20251231.htm" TargetMode="External"/><Relationship Id="rId6" Type="http://schemas.openxmlformats.org/officeDocument/2006/relationships/hyperlink" Target="https://www.sec.gov/Archives/edgar/data/1649904/000162828026012399/rytm-20251231.htm" TargetMode="External"/><Relationship Id="rId7" Type="http://schemas.openxmlformats.org/officeDocument/2006/relationships/hyperlink" Target="https://www.sec.gov/Archives/edgar/data/1649904/000162828026012399/rytm-20251231.htm" TargetMode="External"/><Relationship Id="rId8" Type="http://schemas.openxmlformats.org/officeDocument/2006/relationships/hyperlink" Target="https://www.sec.gov/Archives/edgar/data/1649904/000162828026030549/rytm-20260331.htm" TargetMode="External"/><Relationship Id="rId9" Type="http://schemas.openxmlformats.org/officeDocument/2006/relationships/hyperlink" Target="https://www.sec.gov/Archives/edgar/data/1649904/000162828026030549/rytm-20260331.htm" TargetMode="External"/><Relationship Id="rId10" Type="http://schemas.openxmlformats.org/officeDocument/2006/relationships/hyperlink" Target="https://www.sec.gov/Archives/edgar/data/1649904/000162828026030549/rytm-20260331.htm" TargetMode="External"/><Relationship Id="rId11" Type="http://schemas.openxmlformats.org/officeDocument/2006/relationships/hyperlink" Target="https://www.sec.gov/Archives/edgar/data/1649904/000162828026030549/rytm-20260331.htm" TargetMode="External"/><Relationship Id="rId12" Type="http://schemas.openxmlformats.org/officeDocument/2006/relationships/hyperlink" Target="https://www.sec.gov/Archives/edgar/data/1649904/000162828026030549/rytm-20260331.htm" TargetMode="External"/><Relationship Id="rId13" Type="http://schemas.openxmlformats.org/officeDocument/2006/relationships/hyperlink" Target="https://www.sec.gov/Archives/edgar/data/1649904/000162828026030549/rytm-20260331.htm" TargetMode="External"/><Relationship Id="rId14" Type="http://schemas.openxmlformats.org/officeDocument/2006/relationships/hyperlink" Target="https://www.sec.gov/Archives/edgar/data/1649904/000162828026030549/rytm-20260331.htm" TargetMode="External"/><Relationship Id="rId15" Type="http://schemas.openxmlformats.org/officeDocument/2006/relationships/hyperlink" Target="https://www.sec.gov/Archives/edgar/data/1649904/000162828026001459/rytm-20260109.htm" TargetMode="External"/><Relationship Id="rId16" Type="http://schemas.openxmlformats.org/officeDocument/2006/relationships/hyperlink" Target="https://www.sec.gov/Archives/edgar/data/1649904/000110465926021801/tm267699d1_8k.htm" TargetMode="External"/><Relationship Id="rId17" Type="http://schemas.openxmlformats.org/officeDocument/2006/relationships/hyperlink" Target="https://www.sec.gov/Archives/edgar/data/1649904/000110465926021801/tm267699d1_8k.htm" TargetMode="External"/><Relationship Id="rId18" Type="http://schemas.openxmlformats.org/officeDocument/2006/relationships/hyperlink" Target="https://www.sec.gov/Archives/edgar/data/1649904/000162828026018211/rytm-20260316.htm" TargetMode="External"/><Relationship Id="rId19" Type="http://schemas.openxmlformats.org/officeDocument/2006/relationships/hyperlink" Target="https://www.sec.gov/Archives/edgar/data/1649904/000162828026019995/rytm-20260319.htm" TargetMode="External"/><Relationship Id="rId20" Type="http://schemas.openxmlformats.org/officeDocument/2006/relationships/hyperlink" Target="https://www.sec.gov/Archives/edgar/data/1649904/000162828026019995/rytm-20260319.htm" TargetMode="External"/><Relationship Id="rId21" Type="http://schemas.openxmlformats.org/officeDocument/2006/relationships/hyperlink" Target="https://www.sec.gov/Archives/edgar/data/1649904/000162828026019995/rytm-20260319.htm" TargetMode="External"/><Relationship Id="rId22" Type="http://schemas.openxmlformats.org/officeDocument/2006/relationships/hyperlink" Target="https://www.sec.gov/Archives/edgar/data/1649904/000162828026021414/rytm-20260326.htm" TargetMode="External"/><Relationship Id="rId23" Type="http://schemas.openxmlformats.org/officeDocument/2006/relationships/hyperlink" Target="https://www.sec.gov/Archives/edgar/data/1649904/000162828026021414/rytm-20260326.htm" TargetMode="External"/><Relationship Id="rId24" Type="http://schemas.openxmlformats.org/officeDocument/2006/relationships/hyperlink" Target="https://www.sec.gov/Archives/edgar/data/1649904/000162828026021414/rytm-20260326.htm" TargetMode="External"/><Relationship Id="rId25" Type="http://schemas.openxmlformats.org/officeDocument/2006/relationships/hyperlink" Target="https://www.sec.gov/Archives/edgar/data/1649904/000162828026021414/rytm-20260326.htm" TargetMode="External"/><Relationship Id="rId26" Type="http://schemas.openxmlformats.org/officeDocument/2006/relationships/hyperlink" Target="https://www.sec.gov/Archives/edgar/data/1649904/000162828026023606/rytm-20260401.htm" TargetMode="External"/><Relationship Id="rId27" Type="http://schemas.openxmlformats.org/officeDocument/2006/relationships/hyperlink" Target="https://www.sec.gov/Archives/edgar/data/1649904/000162828026023606/rytm-20260401.htm" TargetMode="External"/><Relationship Id="rId28" Type="http://schemas.openxmlformats.org/officeDocument/2006/relationships/hyperlink" Target="https://www.sec.gov/Archives/edgar/data/1649904/000162828026030136/rytm-20260505.htm" TargetMode="External"/><Relationship Id="rId29" Type="http://schemas.openxmlformats.org/officeDocument/2006/relationships/hyperlink" Target="https://www.sec.gov/Archives/edgar/data/1649904/000162828026030136/rytm-20260505.htm" TargetMode="External"/><Relationship Id="rId30" Type="http://schemas.openxmlformats.org/officeDocument/2006/relationships/hyperlink" Target="https://www.sec.gov/Archives/edgar/data/1649904/000110465917059847/a15-20842_118a12b.htm" TargetMode="External"/><Relationship Id="rId31" Type="http://schemas.openxmlformats.org/officeDocument/2006/relationships/hyperlink" Target="https://www.sec.gov/Archives/edgar/data/1649904/000155837023002613/rytm-20221231xex4d3.htm" TargetMode="External"/><Relationship Id="rId32" Type="http://schemas.openxmlformats.org/officeDocument/2006/relationships/hyperlink" Target="https://www.sec.gov/Archives/edgar/data/1649904/000155837025008924/rytm-20250624xex3d1.htm" TargetMode="External"/><Relationship Id="rId33" Type="http://schemas.openxmlformats.org/officeDocument/2006/relationships/hyperlink" Target="https://www.sec.gov/Archives/edgar/data/1649904/000155837024007076/rytm-20240331xex3d4.htm" TargetMode="External"/><Relationship Id="rId34" Type="http://schemas.openxmlformats.org/officeDocument/2006/relationships/hyperlink" Target="https://www.sec.gov/Archives/edgar/data/1649904/000110465923126873/tm2332524d2_ex3-1.htm" TargetMode="External"/><Relationship Id="rId35" Type="http://schemas.openxmlformats.org/officeDocument/2006/relationships/hyperlink" Target="https://www.sec.gov/Archives/edgar/data/1649904/000162828026030549/rytm-20260331xexx101dcpdir.htm" TargetMode="External"/><Relationship Id="rId36" Type="http://schemas.openxmlformats.org/officeDocument/2006/relationships/image" Target="media/image1.jpeg"/><Relationship Id="rId37" Type="http://schemas.openxmlformats.org/officeDocument/2006/relationships/image" Target="media/image2.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4059</Words>
  <Characters>22104</Characters>
  <CharactersWithSpaces>26010</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rhythm-2026dcpdirectorss</dc:title>
</cp:coreProperties>
</file>