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8127-1_4seq1.xml.htm"/>
      <w:bookmarkStart w:id="1" w:name="kstm26812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German Christopher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RHYTHM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RYTM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Corporate Controller &amp; CAO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5,614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89.56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21 shares of Common Stock purchased pursuant to the Rhythm Pharmaceuticals, Inc.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were granted on April 4, 2023. The options vest and become exercisable as to 25% of the total shares on March 20, 2024 and, thereafter, as to the remaining 75% of the total shares in twelve equal quarterly installments of 6.25% beginning June 20, 2024 and ending March 20, 2027,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Vander Stoep, attorney-in-fact for Christopher Paul German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0835" TargetMode="External"/><Relationship Id="rId5" Type="http://schemas.openxmlformats.org/officeDocument/2006/relationships/hyperlink" Target="http://www.sec.gov/cgi-bin/browse-edgar?action=getcompany&amp;CIK=00016499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3645</Characters>
  <CharactersWithSpaces>4247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