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22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2295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704"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Shulman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00"/>
        <w:spacing w:after="0" w:line="379" w:lineRule="auto"/>
        <w:rPr>
          <w:sz w:val="20"/>
          <w:szCs w:val="20"/>
          <w:color w:val="auto"/>
        </w:rPr>
      </w:pPr>
      <w:r>
        <w:rPr>
          <w:rFonts w:ascii="Times New Roman" w:cs="Times New Roman" w:eastAsia="Times New Roman" w:hAnsi="Times New Roman"/>
          <w:sz w:val="16"/>
          <w:szCs w:val="16"/>
          <w:color w:val="0000FF"/>
        </w:rPr>
        <w:t>C/O RHYTHM PHARMACEUTICALS, INC. 222 BERKELEY STREET, 12TH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RHYTHM PHARMACEUTICALS,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46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34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840"/>
              <w:spacing w:after="0" w:line="181" w:lineRule="exact"/>
              <w:rPr>
                <w:sz w:val="20"/>
                <w:szCs w:val="20"/>
                <w:color w:val="auto"/>
              </w:rPr>
            </w:pPr>
            <w:r>
              <w:rPr>
                <w:rFonts w:ascii="Times New Roman" w:cs="Times New Roman" w:eastAsia="Times New Roman" w:hAnsi="Times New Roman"/>
                <w:sz w:val="17"/>
                <w:szCs w:val="17"/>
                <w:color w:val="0000FF"/>
              </w:rPr>
              <w:t>Chief Technical Officer</w:t>
            </w:r>
          </w:p>
        </w:tc>
        <w:tc>
          <w:tcPr>
            <w:tcW w:w="0" w:type="dxa"/>
            <w:vAlign w:val="bottom"/>
          </w:tcPr>
          <w:p>
            <w:pPr>
              <w:spacing w:after="0"/>
              <w:rPr>
                <w:sz w:val="1"/>
                <w:szCs w:val="1"/>
                <w:color w:val="auto"/>
              </w:rPr>
            </w:pPr>
          </w:p>
        </w:tc>
      </w:tr>
      <w:tr>
        <w:trPr>
          <w:trHeight w:val="217"/>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09/02/2025</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34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7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09/02/2025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2,094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27.35</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10,603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09/02/2025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14,687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30.66</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25,290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09/02/2025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16,781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105.298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3"/>
              </w:rPr>
              <w:t>8,509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27.35</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09/02/2025</w:t>
            </w:r>
          </w:p>
        </w:tc>
        <w:tc>
          <w:tcPr>
            <w:tcW w:w="1140" w:type="dxa"/>
            <w:vAlign w:val="bottom"/>
          </w:tcPr>
          <w:p>
            <w:pPr>
              <w:spacing w:after="0"/>
              <w:rPr>
                <w:sz w:val="12"/>
                <w:szCs w:val="12"/>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2,094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01/31/2033</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2,094</w:t>
            </w:r>
          </w:p>
        </w:tc>
        <w:tc>
          <w:tcPr>
            <w:tcW w:w="18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16,750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30.66</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09/02/2025</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14,687</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02/10/2031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7"/>
                <w:szCs w:val="17"/>
                <w:color w:val="0000FF"/>
              </w:rPr>
              <w:t>14,687</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22,813</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Rule 10b5-1 instruction adopted on August 8, 2024.</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securities were sold in multiple transactions at prices ranging from $105.00 to $105.82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granted on February 1, 2023. The options vest and become exercisable in 16 substantially equal installments upon the Reporting Person's completion of each three full months of successive service to the Issuer following the grant date.</w:t>
      </w:r>
    </w:p>
    <w:p>
      <w:pPr>
        <w:spacing w:after="0" w:line="17"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granted on February 11, 2021. The options vest and become exercisable in 16 substantially equal installments upon the Reporting Person's completion of each three full months of successive service to the Issuer following the grant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93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Joseph</w:t>
      </w:r>
      <w:r>
        <w:rPr>
          <w:sz w:val="20"/>
          <w:szCs w:val="20"/>
          <w:color w:val="auto"/>
        </w:rPr>
        <w:tab/>
      </w:r>
      <w:r>
        <w:rPr>
          <w:rFonts w:ascii="Times New Roman" w:cs="Times New Roman" w:eastAsia="Times New Roman" w:hAnsi="Times New Roman"/>
          <w:sz w:val="16"/>
          <w:szCs w:val="16"/>
          <w:color w:val="0000FF"/>
        </w:rPr>
        <w:t>09/04/2025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Shulman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78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9855"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2025-09-04T15:40:48Z</dcterms:created>
  <dcterms:modified xsi:type="dcterms:W3CDTF">2025-09-04T15:40:48Z</dcterms:modified>
</cp:coreProperties>
</file>