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240"/>
        <w:jc w:val="center"/>
        <w:rPr>
          <w:rFonts w:ascii="Times New Roman;serif" w:hAnsi="Times New Roman;serif"/>
          <w:b/>
          <w:color w:val="000000"/>
          <w:sz w:val="32"/>
        </w:rPr>
      </w:pPr>
      <w:r>
        <w:rPr>
          <w:rFonts w:ascii="Times New Roman;serif" w:hAnsi="Times New Roman;serif"/>
          <w:b/>
          <w:color w:val="000000"/>
          <w:sz w:val="32"/>
        </w:rPr>
        <w:t>SCHEDULE 14A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Proxy Statement Pursuant to Section 14(a) of</w:t>
      </w:r>
    </w:p>
    <w:p>
      <w:pPr>
        <w:pStyle w:val="TextBody"/>
        <w:bidi w:val="0"/>
        <w:spacing w:lineRule="auto" w:line="288" w:before="0" w:after="80"/>
        <w:jc w:val="center"/>
        <w:rPr>
          <w:rFonts w:ascii="Times New Roman;serif" w:hAnsi="Times New Roman;serif"/>
          <w:b w:val="false"/>
          <w:color w:val="000000"/>
          <w:sz w:val="20"/>
        </w:rPr>
      </w:pPr>
      <w:r>
        <w:rPr>
          <w:rFonts w:ascii="Times New Roman;serif" w:hAnsi="Times New Roman;serif"/>
          <w:b w:val="false"/>
          <w:color w:val="000000"/>
          <w:sz w:val="20"/>
        </w:rPr>
        <w:t>the Securities Exchange Act of 1934 (Amendment No.)</w:t>
      </w:r>
    </w:p>
    <w:p>
      <w:pPr>
        <w:pStyle w:val="TextBody"/>
        <w:bidi w:val="0"/>
        <w:spacing w:lineRule="auto" w:line="288" w:before="0" w:after="240"/>
        <w:jc w:val="left"/>
        <w:rPr/>
      </w:pPr>
      <w:r>
        <w:rPr>
          <w:rFonts w:ascii="Times New Roman;serif" w:hAnsi="Times New Roman;serif"/>
          <w:b w:val="false"/>
          <w:color w:val="000000"/>
          <w:sz w:val="20"/>
        </w:rPr>
        <w:t xml:space="preserve">Filed by the Registrant </w:t>
      </w:r>
      <w:r>
        <w:rPr>
          <w:rFonts w:ascii="Wingdings;sans-serif" w:hAnsi="Wingdings;sans-serif"/>
          <w:b w:val="false"/>
          <w:color w:val="000000"/>
          <w:sz w:val="20"/>
        </w:rPr>
        <w:t>x</w:t>
      </w:r>
    </w:p>
    <w:p>
      <w:pPr>
        <w:pStyle w:val="TextBody"/>
        <w:bidi w:val="0"/>
        <w:spacing w:lineRule="auto" w:line="288" w:before="0" w:after="240"/>
        <w:jc w:val="left"/>
        <w:rPr/>
      </w:pPr>
      <w:r>
        <w:rPr>
          <w:rFonts w:ascii="Times New Roman;serif" w:hAnsi="Times New Roman;serif"/>
          <w:b w:val="false"/>
          <w:color w:val="000000"/>
          <w:sz w:val="20"/>
        </w:rPr>
        <w:t xml:space="preserve">Filed by a Party other than the Registrant </w:t>
      </w:r>
      <w:r>
        <w:rPr>
          <w:rFonts w:ascii="Wingdings;sans-serif" w:hAnsi="Wingdings;sans-serif"/>
          <w:b w:val="false"/>
          <w:color w:val="000000"/>
          <w:sz w:val="20"/>
        </w:rPr>
        <w:t>o</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bl>
      <w:tblPr>
        <w:tblW w:w="7166" w:type="dxa"/>
        <w:jc w:val="left"/>
        <w:tblInd w:w="0" w:type="dxa"/>
        <w:tblLayout w:type="fixed"/>
        <w:tblCellMar>
          <w:top w:w="28" w:type="dxa"/>
          <w:left w:w="28" w:type="dxa"/>
          <w:bottom w:w="28" w:type="dxa"/>
          <w:right w:w="28" w:type="dxa"/>
        </w:tblCellMar>
      </w:tblPr>
      <w:tblGrid>
        <w:gridCol w:w="124"/>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under §240.14a-12</w:t>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RHYTHM PHARMACEUTICALS,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Times New Roman;serif" w:hAnsi="Times New Roman;serif"/>
          <w:b w:val="false"/>
          <w:color w:val="000000"/>
          <w:sz w:val="18"/>
        </w:rPr>
      </w:pPr>
      <w:r>
        <w:rPr>
          <w:rFonts w:ascii="Times New Roman;serif" w:hAnsi="Times New Roman;serif"/>
          <w:b w:val="false"/>
          <w:color w:val="000000"/>
          <w:sz w:val="18"/>
        </w:rPr>
        <w:t>(Name of Person(s) Filing Proxy Statement, if other than the Registrant)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bl>
      <w:tblPr>
        <w:tblW w:w="8757" w:type="dxa"/>
        <w:jc w:val="left"/>
        <w:tblInd w:w="0" w:type="dxa"/>
        <w:tblLayout w:type="fixed"/>
        <w:tblCellMar>
          <w:top w:w="28" w:type="dxa"/>
          <w:left w:w="28" w:type="dxa"/>
          <w:bottom w:w="28" w:type="dxa"/>
          <w:right w:w="28" w:type="dxa"/>
        </w:tblCellMar>
      </w:tblPr>
      <w:tblGrid>
        <w:gridCol w:w="124"/>
        <w:gridCol w:w="109"/>
        <w:gridCol w:w="109"/>
        <w:gridCol w:w="2462"/>
        <w:gridCol w:w="2462"/>
        <w:gridCol w:w="34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34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before="0" w:after="160"/>
        <w:jc w:val="center"/>
        <w:rPr/>
      </w:pPr>
      <w:r>
        <w:rPr/>
        <w:drawing>
          <wp:inline distT="0" distB="0" distL="0" distR="0">
            <wp:extent cx="2181225" cy="5619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181225" cy="561975"/>
                    </a:xfrm>
                    <a:prstGeom prst="rect">
                      <a:avLst/>
                    </a:prstGeom>
                  </pic:spPr>
                </pic:pic>
              </a:graphicData>
            </a:graphic>
          </wp:inline>
        </w:drawing>
      </w:r>
      <w:bookmarkStart w:id="0" w:name="i-1"/>
      <w:bookmarkEnd w:id="0"/>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Rhythm Pharmaceuticals, Inc.</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222 Berkeley Street, 12th Floor</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Boston, MA 02116</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April 29, 2026</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Dear Stockholder:</w:t>
      </w:r>
    </w:p>
    <w:p>
      <w:pPr>
        <w:pStyle w:val="TextBody"/>
        <w:bidi w:val="0"/>
        <w:spacing w:lineRule="auto" w:line="288" w:before="0" w:after="160"/>
        <w:jc w:val="left"/>
        <w:rPr/>
      </w:pPr>
      <w:r>
        <w:rPr>
          <w:rFonts w:ascii="Times New Roman;serif" w:hAnsi="Times New Roman;serif"/>
          <w:b w:val="false"/>
          <w:color w:val="000000"/>
          <w:sz w:val="20"/>
        </w:rPr>
        <w:t xml:space="preserve">On behalf of the Board of Directors of Rhythm Pharmaceuticals, Inc. (the “Company,” “we” or “Rhythm”), I invite you to attend the Annual Meeting of Stockholders (the “Annual Meeting”) that will be held on Wednesday, June 24, 2026, at 2:00 p.m., Eastern Time. The Annual Meeting will be held entirely online. You will be able to attend the Annual Meeting online and submit your questions during the meeting by visiting </w:t>
      </w:r>
      <w:r>
        <w:rPr>
          <w:rFonts w:ascii="Times New Roman;serif" w:hAnsi="Times New Roman;serif"/>
          <w:b w:val="false"/>
          <w:i/>
          <w:color w:val="000000"/>
          <w:sz w:val="20"/>
        </w:rPr>
        <w:t>www.meetnow.global/MQ27S2Z</w:t>
      </w:r>
      <w:r>
        <w:rPr>
          <w:rFonts w:ascii="Times New Roman;serif" w:hAnsi="Times New Roman;serif"/>
          <w:b w:val="false"/>
          <w:color w:val="000000"/>
          <w:sz w:val="20"/>
        </w:rPr>
        <w:t>. The matters to be voted upon at the Annual Meeting are listed in the Notice of Annual Meeting of Stockholders and more fully described in the definitive proxy statement accompanying this letter (the “Proxy Statement”).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All stockholders of record of our common stock, $0.001 par value per share, (the “Common Stock”) and Series A Convertible Preferred Stock, $0.001 par value per share (“Convertible Preferred Stock”) at the close of business on April 27, 2026, the record date, are entitled to notice of the Annual Meeting and any continuation, postponement, or adjournment thereof. Stockholders of record of our Common Stock are entitled to vote at the Annual Meeting. Holders of our Convertible Preferred Stock are entitled to vote at the Annual Meeting, subject to the terms of the Convertible Preferred Stock as specified in the Amended and Restated Certificate of Designations for the Convertible Preferred Stock (the “Certificate of Designations”). For more information, see “Who can vote at the Annual Meeting?” on page 1 of the accompanying Proxy Statement.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know that certain of our stockholders will be unable to attend the Annual Meeting electronically. We, therefore, are soliciting proxies so that each stockholder has an opportunity to vote on the matters that are scheduled to come before the stockholders at the Annual Meeting. If you have previously received our Notice of Internet Availability of Proxy Materials (the “Internet Notice”), then instructions regarding how you can vote are contained in that notice. If you have received a proxy card, then instructions regarding how you can vote are contained on the proxy card. Submitting your vote via the Internet or by telephone or proxy card will not affect your right to vote electronically if you decide to attend the Annual Meeting. If your shares are held in street name (held for your account by a broker or other nominee), you will receive instructions from your broker or other nominee explaining how to vote your shares. Whether or not you expect to attend the Annual Meeting electronically, we urge you to vote your shares as promptly as possible to ensure your representation and the presence of a quorum at the Annual Meeting. Your proxy is revocable in accordance with the procedures set forth in the Proxy Statement.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Thank you for your continuing interest in the Company.</w:t>
      </w:r>
    </w:p>
    <w:tbl>
      <w:tblPr>
        <w:tblW w:w="3612" w:type="dxa"/>
        <w:jc w:val="center"/>
        <w:tblInd w:w="0" w:type="dxa"/>
        <w:tblLayout w:type="fixed"/>
        <w:tblCellMar>
          <w:top w:w="28" w:type="dxa"/>
          <w:left w:w="28" w:type="dxa"/>
          <w:bottom w:w="28" w:type="dxa"/>
          <w:right w:w="28" w:type="dxa"/>
        </w:tblCellMar>
      </w:tblPr>
      <w:tblGrid>
        <w:gridCol w:w="124"/>
        <w:gridCol w:w="109"/>
        <w:gridCol w:w="109"/>
        <w:gridCol w:w="957"/>
        <w:gridCol w:w="957"/>
        <w:gridCol w:w="13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P. Meeker, M.D.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David P. Meeker, M.D.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Chairman of the Board, President and</w:t>
              <w:br/>
              <w:t>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drawing>
          <wp:inline distT="0" distB="0" distL="0" distR="0">
            <wp:extent cx="2181225" cy="5619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181225" cy="561975"/>
                    </a:xfrm>
                    <a:prstGeom prst="rect">
                      <a:avLst/>
                    </a:prstGeom>
                  </pic:spPr>
                </pic:pic>
              </a:graphicData>
            </a:graphic>
          </wp:inline>
        </w:drawing>
      </w:r>
      <w:bookmarkStart w:id="1" w:name="i-2"/>
      <w:bookmarkEnd w:id="1"/>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Rhythm Pharmaceuticals,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222 Berkeley Street, 12th Floor</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Boston, MA 02116</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NOTICE OF ANNUAL MEETING OF STOCKHOLDERS</w:t>
      </w:r>
    </w:p>
    <w:p>
      <w:pPr>
        <w:pStyle w:val="TextBody"/>
        <w:bidi w:val="0"/>
        <w:spacing w:lineRule="auto" w:line="288" w:before="0" w:after="240"/>
        <w:jc w:val="left"/>
        <w:rPr/>
      </w:pPr>
      <w:r>
        <w:rPr>
          <w:rFonts w:ascii="Times New Roman;serif" w:hAnsi="Times New Roman;serif"/>
          <w:b w:val="false"/>
          <w:color w:val="000000"/>
          <w:sz w:val="20"/>
        </w:rPr>
        <w:t xml:space="preserve">The Annual Meeting of Stockholders (the “Annual Meeting”) of Rhythm Pharmaceuticals, Inc. (the “Company,” “we” or “Rhythm”) will be held on Wednesday, June 24, 2026, at 2:00 p.m., Eastern Time. The Annual Meeting will be a completely virtual meeting, which will be conducted via live webcast. You will be able to attend the Annual Meeting online and submit your questions during the meeting by visiting </w:t>
      </w:r>
      <w:r>
        <w:rPr>
          <w:rFonts w:ascii="Times New Roman;serif" w:hAnsi="Times New Roman;serif"/>
          <w:b w:val="false"/>
          <w:i/>
          <w:color w:val="000000"/>
          <w:sz w:val="20"/>
        </w:rPr>
        <w:t>www.meetnow.global/MQ27S2Z</w:t>
      </w:r>
      <w:r>
        <w:rPr>
          <w:color w:val="000000"/>
        </w:rPr>
        <w:t xml:space="preserve"> </w:t>
      </w:r>
      <w:r>
        <w:rPr>
          <w:rFonts w:ascii="Times New Roman;serif" w:hAnsi="Times New Roman;serif"/>
          <w:b w:val="false"/>
          <w:color w:val="000000"/>
          <w:sz w:val="20"/>
        </w:rPr>
        <w:t>and entering the control number included in your Notice of Internet Availability of Proxy Materials (the “Internet Notice”), on any proxy card that you received or on the instructions that accompanied your proxy materials. The Annual Meeting will be held for the following purposes: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(1)To elect David W.J. McGirr and David P. Meeker, MD as Class III directors, each to serve for a three-year term until the 2029 Annual Meeting of Stockholders and until their respective successors are duly elected and qualified;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(2)To ratify the appointment of Ernst &amp; Young LLP as the independent registered public accounting firm for the Company for the fiscal year ending December 31, 2026;</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(3)To approve, on an advisory (non-binding) basis, the compensation of our named executive officers (“Say-on-Pay Vote”);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(4)To transact such other business as may properly come before the Annual Meeting or any continuation, postponement, or adjournment of the Annual Meeting.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Board has fixed the close of business on April 27, 2026 as the record date for determining stockholders entitled to notice of and to vote at the Annual Meeting. To participate in the Annual Meeting, including to vote via the Internet or telephone, you will need the control number included in your Internet Notice, on any proxy card that you received or on the instructions that accompanied your proxy materials. A complete list of such stockholders will be open to the examination of any stockholder for a period of ten days prior to the Annual Meeting for a purpose germane to the meeting by sending an email to David Connolly, Head of Investor Relations and Corporate Communications, at dconnolly@rhythmtx.com, stating the purpose of the request and providing proof of ownership of Company stock. The Annual Meeting may be continued or adjourned from time to time without notice other than by announcement at the Annual Meeting.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Whether or not you expect to attend the Annual Meeting electronically, we urge you to vote your shares as promptly as possible to ensure your representation and the presence of a quorum at the Annual Meeting. If you choose to attend the Annual Meeting, you may still vote your shares electronically, even if you have previously voted or returned your proxy by any of the methods described in the Proxy Statement. If your shares are held in street name in a bank or brokerage account, please refer to the materials provided by your bank, broker or other nominee for voting instructions. Your proxy is revocable in accordance with the procedures set forth in the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 stockholders are extended a cordial invitation to attend the meeting online.</w:t>
      </w:r>
    </w:p>
    <w:tbl>
      <w:tblPr>
        <w:tblW w:w="3582" w:type="dxa"/>
        <w:jc w:val="left"/>
        <w:tblInd w:w="0" w:type="dxa"/>
        <w:tblLayout w:type="fixed"/>
        <w:tblCellMar>
          <w:top w:w="28" w:type="dxa"/>
          <w:left w:w="28" w:type="dxa"/>
          <w:bottom w:w="28" w:type="dxa"/>
          <w:right w:w="28" w:type="dxa"/>
        </w:tblCellMar>
      </w:tblPr>
      <w:tblGrid>
        <w:gridCol w:w="124"/>
        <w:gridCol w:w="109"/>
        <w:gridCol w:w="109"/>
        <w:gridCol w:w="947"/>
        <w:gridCol w:w="947"/>
        <w:gridCol w:w="13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David P. Meeker, M.D.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David P. Meeker, M.D.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Chairman of the Board,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23"/>
        <w:gridCol w:w="2924"/>
        <w:gridCol w:w="2959"/>
        <w:gridCol w:w="109"/>
        <w:gridCol w:w="109"/>
        <w:gridCol w:w="109"/>
        <w:gridCol w:w="167"/>
        <w:gridCol w:w="167"/>
        <w:gridCol w:w="238"/>
      </w:tblGrid>
      <w:tr>
        <w:trPr/>
        <w:tc>
          <w:tcPr>
            <w:tcW w:w="3423"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3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Clause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30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8f09a4a80d7648abab6aacbc9533b618_16">
              <w:r>
                <w:rPr>
                  <w:rStyle w:val="InternetLink"/>
                  <w:rFonts w:ascii="Times New Roman;serif" w:hAnsi="Times New Roman;serif"/>
                  <w:b w:val="false"/>
                  <w:color w:val="0000FF"/>
                  <w:sz w:val="20"/>
                  <w:u w:val="single"/>
                </w:rPr>
                <w:t>PROXY STATEMENT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8f09a4a80d7648abab6aacbc9533b618_16">
              <w:r>
                <w:rPr>
                  <w:rStyle w:val="InternetLink"/>
                  <w:rFonts w:ascii="Times New Roman;serif" w:hAnsi="Times New Roman;serif"/>
                  <w:b w:val="false"/>
                  <w:strike w:val="false"/>
                  <w:dstrike w:val="false"/>
                  <w:color w:val="000000"/>
                  <w:sz w:val="20"/>
                  <w:u w:val="none"/>
                  <w:effect w:val="none"/>
                </w:rPr>
                <w:t>1</w:t>
              </w:r>
            </w:hyperlink>
          </w:p>
        </w:tc>
      </w:tr>
      <w:tr>
        <w:trPr/>
        <w:tc>
          <w:tcPr>
            <w:tcW w:w="9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f09a4a80d7648abab6aacbc9533b618_19">
              <w:r>
                <w:rPr>
                  <w:rStyle w:val="InternetLink"/>
                  <w:rFonts w:ascii="Times New Roman;serif" w:hAnsi="Times New Roman;serif"/>
                  <w:b w:val="false"/>
                  <w:color w:val="0000FF"/>
                  <w:sz w:val="20"/>
                  <w:u w:val="single"/>
                </w:rPr>
                <w:t>GENERAL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f09a4a80d7648abab6aacbc9533b618_19">
              <w:r>
                <w:rPr>
                  <w:rStyle w:val="InternetLink"/>
                  <w:rFonts w:ascii="Times New Roman;serif" w:hAnsi="Times New Roman;serif"/>
                  <w:b w:val="false"/>
                  <w:strike w:val="false"/>
                  <w:dstrike w:val="false"/>
                  <w:color w:val="000000"/>
                  <w:sz w:val="20"/>
                  <w:u w:val="none"/>
                  <w:effect w:val="none"/>
                </w:rPr>
                <w:t>1</w:t>
              </w:r>
            </w:hyperlink>
          </w:p>
        </w:tc>
      </w:tr>
      <w:tr>
        <w:trPr/>
        <w:tc>
          <w:tcPr>
            <w:tcW w:w="9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f09a4a80d7648abab6aacbc9533b618_22">
              <w:r>
                <w:rPr>
                  <w:rStyle w:val="InternetLink"/>
                  <w:rFonts w:ascii="Times New Roman;serif" w:hAnsi="Times New Roman;serif"/>
                  <w:b w:val="false"/>
                  <w:color w:val="0000FF"/>
                  <w:sz w:val="20"/>
                  <w:u w:val="single"/>
                </w:rPr>
                <w:t>PROPOSAL NO. 1—ELECTION OF DIRECTORS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f09a4a80d7648abab6aacbc9533b618_22">
              <w:r>
                <w:rPr>
                  <w:rStyle w:val="InternetLink"/>
                  <w:rFonts w:ascii="Times New Roman;serif" w:hAnsi="Times New Roman;serif"/>
                  <w:b w:val="false"/>
                  <w:strike w:val="false"/>
                  <w:dstrike w:val="false"/>
                  <w:color w:val="000000"/>
                  <w:sz w:val="20"/>
                  <w:u w:val="none"/>
                  <w:effect w:val="none"/>
                </w:rPr>
                <w:t>7</w:t>
              </w:r>
            </w:hyperlink>
          </w:p>
        </w:tc>
      </w:tr>
      <w:tr>
        <w:trPr/>
        <w:tc>
          <w:tcPr>
            <w:tcW w:w="9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f09a4a80d7648abab6aacbc9533b618_25">
              <w:r>
                <w:rPr>
                  <w:rStyle w:val="InternetLink"/>
                  <w:rFonts w:ascii="Times New Roman;serif" w:hAnsi="Times New Roman;serif"/>
                  <w:b w:val="false"/>
                  <w:color w:val="0000FF"/>
                  <w:sz w:val="20"/>
                  <w:u w:val="single"/>
                </w:rPr>
                <w:t>BOARD OF DIRECTORS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f09a4a80d7648abab6aacbc9533b618_25">
              <w:r>
                <w:rPr>
                  <w:rStyle w:val="InternetLink"/>
                  <w:rFonts w:ascii="Times New Roman;serif" w:hAnsi="Times New Roman;serif"/>
                  <w:b w:val="false"/>
                  <w:strike w:val="false"/>
                  <w:dstrike w:val="false"/>
                  <w:color w:val="000000"/>
                  <w:sz w:val="20"/>
                  <w:u w:val="none"/>
                  <w:effect w:val="none"/>
                </w:rPr>
                <w:t>8</w:t>
              </w:r>
            </w:hyperlink>
          </w:p>
        </w:tc>
      </w:tr>
      <w:tr>
        <w:trPr/>
        <w:tc>
          <w:tcPr>
            <w:tcW w:w="9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f09a4a80d7648abab6aacbc9533b618_28">
              <w:r>
                <w:rPr>
                  <w:rStyle w:val="InternetLink"/>
                  <w:rFonts w:ascii="Times New Roman;serif" w:hAnsi="Times New Roman;serif"/>
                  <w:b w:val="false"/>
                  <w:color w:val="0000FF"/>
                  <w:sz w:val="20"/>
                  <w:u w:val="single"/>
                </w:rPr>
                <w:t>CORPORATE GOVERNANCE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f09a4a80d7648abab6aacbc9533b618_28">
              <w:r>
                <w:rPr>
                  <w:rStyle w:val="InternetLink"/>
                  <w:rFonts w:ascii="Times New Roman;serif" w:hAnsi="Times New Roman;serif"/>
                  <w:b w:val="false"/>
                  <w:strike w:val="false"/>
                  <w:dstrike w:val="false"/>
                  <w:color w:val="000000"/>
                  <w:sz w:val="20"/>
                  <w:u w:val="none"/>
                  <w:effect w:val="none"/>
                </w:rPr>
                <w:t>12</w:t>
              </w:r>
            </w:hyperlink>
          </w:p>
        </w:tc>
      </w:tr>
      <w:tr>
        <w:trPr/>
        <w:tc>
          <w:tcPr>
            <w:tcW w:w="9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f09a4a80d7648abab6aacbc9533b618_31">
              <w:r>
                <w:rPr>
                  <w:rStyle w:val="InternetLink"/>
                  <w:rFonts w:ascii="Times New Roman;serif" w:hAnsi="Times New Roman;serif"/>
                  <w:b w:val="false"/>
                  <w:color w:val="0000FF"/>
                  <w:sz w:val="20"/>
                  <w:u w:val="single"/>
                </w:rPr>
                <w:t>DIRECTOR COMPENSATION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f09a4a80d7648abab6aacbc9533b618_31">
              <w:r>
                <w:rPr>
                  <w:rStyle w:val="InternetLink"/>
                  <w:rFonts w:ascii="Times New Roman;serif" w:hAnsi="Times New Roman;serif"/>
                  <w:b w:val="false"/>
                  <w:strike w:val="false"/>
                  <w:dstrike w:val="false"/>
                  <w:color w:val="000000"/>
                  <w:sz w:val="20"/>
                  <w:u w:val="none"/>
                  <w:effect w:val="none"/>
                </w:rPr>
                <w:t>20</w:t>
              </w:r>
            </w:hyperlink>
          </w:p>
        </w:tc>
      </w:tr>
      <w:tr>
        <w:trPr/>
        <w:tc>
          <w:tcPr>
            <w:tcW w:w="9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f09a4a80d7648abab6aacbc9533b618_34">
              <w:r>
                <w:rPr>
                  <w:rStyle w:val="InternetLink"/>
                  <w:rFonts w:ascii="Times New Roman;serif" w:hAnsi="Times New Roman;serif"/>
                  <w:b w:val="false"/>
                  <w:color w:val="0000FF"/>
                  <w:sz w:val="20"/>
                  <w:u w:val="single"/>
                </w:rPr>
                <w:t>EXECUTIVE OFFICERS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f09a4a80d7648abab6aacbc9533b618_34">
              <w:r>
                <w:rPr>
                  <w:rStyle w:val="InternetLink"/>
                  <w:rFonts w:ascii="Times New Roman;serif" w:hAnsi="Times New Roman;serif"/>
                  <w:b w:val="false"/>
                  <w:strike w:val="false"/>
                  <w:dstrike w:val="false"/>
                  <w:color w:val="000000"/>
                  <w:sz w:val="20"/>
                  <w:u w:val="none"/>
                  <w:effect w:val="none"/>
                </w:rPr>
                <w:t>23</w:t>
              </w:r>
            </w:hyperlink>
          </w:p>
        </w:tc>
      </w:tr>
      <w:tr>
        <w:trPr/>
        <w:tc>
          <w:tcPr>
            <w:tcW w:w="9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f09a4a80d7648abab6aacbc9533b618_37">
              <w:r>
                <w:rPr>
                  <w:rStyle w:val="InternetLink"/>
                  <w:rFonts w:ascii="Times New Roman;serif" w:hAnsi="Times New Roman;serif"/>
                  <w:b w:val="false"/>
                  <w:color w:val="0000FF"/>
                  <w:sz w:val="20"/>
                  <w:u w:val="single"/>
                </w:rPr>
                <w:t>EXECUTIVE COMPENSATION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f09a4a80d7648abab6aacbc9533b618_37">
              <w:r>
                <w:rPr>
                  <w:rStyle w:val="InternetLink"/>
                  <w:rFonts w:ascii="Times New Roman;serif" w:hAnsi="Times New Roman;serif"/>
                  <w:b w:val="false"/>
                  <w:strike w:val="false"/>
                  <w:dstrike w:val="false"/>
                  <w:color w:val="000000"/>
                  <w:sz w:val="20"/>
                  <w:u w:val="none"/>
                  <w:effect w:val="none"/>
                </w:rPr>
                <w:t>25</w:t>
              </w:r>
            </w:hyperlink>
          </w:p>
        </w:tc>
      </w:tr>
      <w:tr>
        <w:trPr/>
        <w:tc>
          <w:tcPr>
            <w:tcW w:w="9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f09a4a80d7648abab6aacbc9533b618_40">
              <w:r>
                <w:rPr>
                  <w:rStyle w:val="InternetLink"/>
                  <w:rFonts w:ascii="Times New Roman;serif" w:hAnsi="Times New Roman;serif"/>
                  <w:b w:val="false"/>
                  <w:color w:val="0000FF"/>
                  <w:sz w:val="20"/>
                  <w:u w:val="single"/>
                </w:rPr>
                <w:t>AUDIT COMMITTEE REPORT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f09a4a80d7648abab6aacbc9533b618_40">
              <w:r>
                <w:rPr>
                  <w:rStyle w:val="InternetLink"/>
                  <w:rFonts w:ascii="Times New Roman;serif" w:hAnsi="Times New Roman;serif"/>
                  <w:b w:val="false"/>
                  <w:strike w:val="false"/>
                  <w:dstrike w:val="false"/>
                  <w:color w:val="000000"/>
                  <w:sz w:val="20"/>
                  <w:u w:val="none"/>
                  <w:effect w:val="none"/>
                </w:rPr>
                <w:t>60</w:t>
              </w:r>
            </w:hyperlink>
          </w:p>
        </w:tc>
      </w:tr>
      <w:tr>
        <w:trPr/>
        <w:tc>
          <w:tcPr>
            <w:tcW w:w="9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f09a4a80d7648abab6aacbc9533b618_43">
              <w:r>
                <w:rPr>
                  <w:rStyle w:val="InternetLink"/>
                  <w:rFonts w:ascii="Times New Roman;serif" w:hAnsi="Times New Roman;serif"/>
                  <w:b w:val="false"/>
                  <w:color w:val="0000FF"/>
                  <w:sz w:val="20"/>
                  <w:u w:val="single"/>
                </w:rPr>
                <w:t>PROPOSAL NO. 2—RATIFICATION OF SELECTION OF INDEPENDENT REGISTERED PUBLIC ACCOUNTING FIRM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f09a4a80d7648abab6aacbc9533b618_43">
              <w:r>
                <w:rPr>
                  <w:rStyle w:val="InternetLink"/>
                  <w:rFonts w:ascii="Times New Roman;serif" w:hAnsi="Times New Roman;serif"/>
                  <w:b w:val="false"/>
                  <w:strike w:val="false"/>
                  <w:dstrike w:val="false"/>
                  <w:color w:val="000000"/>
                  <w:sz w:val="20"/>
                  <w:u w:val="none"/>
                  <w:effect w:val="none"/>
                </w:rPr>
                <w:t>61</w:t>
              </w:r>
            </w:hyperlink>
          </w:p>
        </w:tc>
      </w:tr>
      <w:tr>
        <w:trPr/>
        <w:tc>
          <w:tcPr>
            <w:tcW w:w="9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f09a4a80d7648abab6aacbc9533b618_46">
              <w:r>
                <w:rPr>
                  <w:rStyle w:val="InternetLink"/>
                  <w:rFonts w:ascii="Times New Roman;serif" w:hAnsi="Times New Roman;serif"/>
                  <w:b w:val="false"/>
                  <w:color w:val="0000FF"/>
                  <w:sz w:val="20"/>
                  <w:u w:val="single"/>
                </w:rPr>
                <w:t>PROPOSAL NO. 3—APPROVAL, ON AN ADVISORY (NON-BINDING) BASIS, OF THE COMPENSATION OF OUR NAMED EXECUTIVE OFFICERS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f09a4a80d7648abab6aacbc9533b618_46">
              <w:r>
                <w:rPr>
                  <w:rStyle w:val="InternetLink"/>
                  <w:rFonts w:ascii="Times New Roman;serif" w:hAnsi="Times New Roman;serif"/>
                  <w:b w:val="false"/>
                  <w:strike w:val="false"/>
                  <w:dstrike w:val="false"/>
                  <w:color w:val="000000"/>
                  <w:sz w:val="20"/>
                  <w:u w:val="none"/>
                  <w:effect w:val="none"/>
                </w:rPr>
                <w:t>63</w:t>
              </w:r>
            </w:hyperlink>
          </w:p>
        </w:tc>
      </w:tr>
      <w:tr>
        <w:trPr/>
        <w:tc>
          <w:tcPr>
            <w:tcW w:w="9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f09a4a80d7648abab6aacbc9533b618_55">
              <w:r>
                <w:rPr>
                  <w:rStyle w:val="InternetLink"/>
                  <w:rFonts w:ascii="Times New Roman;serif" w:hAnsi="Times New Roman;serif"/>
                  <w:b w:val="false"/>
                  <w:color w:val="0000FF"/>
                  <w:sz w:val="20"/>
                  <w:u w:val="single"/>
                </w:rPr>
                <w:t>BENEFICIAL OWNERSHIP OF CAPITAL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f09a4a80d7648abab6aacbc9533b618_55">
              <w:r>
                <w:rPr>
                  <w:rStyle w:val="InternetLink"/>
                  <w:rFonts w:ascii="Times New Roman;serif" w:hAnsi="Times New Roman;serif"/>
                  <w:b w:val="false"/>
                  <w:strike w:val="false"/>
                  <w:dstrike w:val="false"/>
                  <w:color w:val="000000"/>
                  <w:sz w:val="20"/>
                  <w:u w:val="none"/>
                  <w:effect w:val="none"/>
                </w:rPr>
                <w:t>64</w:t>
              </w:r>
            </w:hyperlink>
          </w:p>
        </w:tc>
      </w:tr>
      <w:tr>
        <w:trPr/>
        <w:tc>
          <w:tcPr>
            <w:tcW w:w="9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f09a4a80d7648abab6aacbc9533b618_58">
              <w:r>
                <w:rPr>
                  <w:rStyle w:val="InternetLink"/>
                  <w:rFonts w:ascii="Times New Roman;serif" w:hAnsi="Times New Roman;serif"/>
                  <w:b w:val="false"/>
                  <w:color w:val="0000FF"/>
                  <w:sz w:val="20"/>
                  <w:u w:val="single"/>
                </w:rPr>
                <w:t>CERTAIN RELATIONSHIPS AND RELATED PARTY TRANSACTIONS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f09a4a80d7648abab6aacbc9533b618_58">
              <w:r>
                <w:rPr>
                  <w:rStyle w:val="InternetLink"/>
                  <w:rFonts w:ascii="Times New Roman;serif" w:hAnsi="Times New Roman;serif"/>
                  <w:b w:val="false"/>
                  <w:strike w:val="false"/>
                  <w:dstrike w:val="false"/>
                  <w:color w:val="000000"/>
                  <w:sz w:val="20"/>
                  <w:u w:val="none"/>
                  <w:effect w:val="none"/>
                </w:rPr>
                <w:t>67</w:t>
              </w:r>
            </w:hyperlink>
          </w:p>
        </w:tc>
      </w:tr>
      <w:tr>
        <w:trPr/>
        <w:tc>
          <w:tcPr>
            <w:tcW w:w="9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f09a4a80d7648abab6aacbc9533b618_64">
              <w:r>
                <w:rPr>
                  <w:rStyle w:val="InternetLink"/>
                  <w:rFonts w:ascii="Times New Roman;serif" w:hAnsi="Times New Roman;serif"/>
                  <w:b w:val="false"/>
                  <w:color w:val="0000FF"/>
                  <w:sz w:val="20"/>
                  <w:u w:val="single"/>
                </w:rPr>
                <w:t>GENERAL MATTERS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f09a4a80d7648abab6aacbc9533b618_64">
              <w:r>
                <w:rPr>
                  <w:rStyle w:val="InternetLink"/>
                  <w:rFonts w:ascii="Times New Roman;serif" w:hAnsi="Times New Roman;serif"/>
                  <w:b w:val="false"/>
                  <w:strike w:val="false"/>
                  <w:dstrike w:val="false"/>
                  <w:color w:val="000000"/>
                  <w:sz w:val="20"/>
                  <w:u w:val="none"/>
                  <w:effect w:val="none"/>
                </w:rPr>
                <w:t>68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Rhythm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222 Berkeley Street, 12th Floor</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Boston, MA 02116</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GENERAL INFORMATION</w:t>
      </w:r>
    </w:p>
    <w:p>
      <w:pPr>
        <w:pStyle w:val="TextBody"/>
        <w:bidi w:val="0"/>
        <w:spacing w:lineRule="auto" w:line="288" w:before="0" w:after="240"/>
        <w:jc w:val="left"/>
        <w:rPr/>
      </w:pPr>
      <w:r>
        <w:rPr>
          <w:rFonts w:ascii="Times New Roman;serif" w:hAnsi="Times New Roman;serif"/>
          <w:b w:val="false"/>
          <w:color w:val="000000"/>
          <w:sz w:val="20"/>
        </w:rPr>
        <w:t xml:space="preserve">This proxy statement (“Proxy Statement”) is furnished in connection with the solicitation by the Board of Directors (the “Board”) of Rhythm Pharmaceuticals, Inc., a Delaware corporation (“Rhythm,” “we,” “our,” “us” or the “Company”), of proxies in the accompanying form to be used at our annual meeting of stockholders to be held on June 24, 2026 at 2:00 p.m., Eastern Time, and any continuation, postponement or adjournment thereof (the “Annual Meeting”). The Annual Meeting will be a completely virtual meeting, which will be conducted via live webcast. You will be able to attend the Annual Meeting online and submit your questions during the meeting by visiting </w:t>
      </w:r>
      <w:r>
        <w:rPr>
          <w:rFonts w:ascii="Times New Roman;serif" w:hAnsi="Times New Roman;serif"/>
          <w:b w:val="false"/>
          <w:i/>
          <w:color w:val="000000"/>
          <w:sz w:val="20"/>
        </w:rPr>
        <w:t>www.meetnow.global/</w:t>
      </w:r>
      <w:r>
        <w:rPr>
          <w:rFonts w:ascii="Times New Roman;serif" w:hAnsi="Times New Roman;serif"/>
          <w:b w:val="false"/>
          <w:color w:val="000000"/>
          <w:sz w:val="20"/>
        </w:rPr>
        <w:t>M</w:t>
      </w:r>
      <w:r>
        <w:rPr>
          <w:rFonts w:ascii="Times New Roman;serif" w:hAnsi="Times New Roman;serif"/>
          <w:b w:val="false"/>
          <w:i/>
          <w:color w:val="000000"/>
          <w:sz w:val="20"/>
        </w:rPr>
        <w:t>Q27S2Z</w:t>
      </w:r>
      <w:r>
        <w:rPr>
          <w:color w:val="000000"/>
        </w:rPr>
        <w:t xml:space="preserve"> </w:t>
      </w:r>
      <w:r>
        <w:rPr>
          <w:rFonts w:ascii="Times New Roman;serif" w:hAnsi="Times New Roman;serif"/>
          <w:b w:val="false"/>
          <w:color w:val="000000"/>
          <w:sz w:val="20"/>
        </w:rPr>
        <w:t>and entering your control number included in your Notice of Internet Availability of Proxy Materials (the “Internet Notice”), on any proxy card you received or on the instructions that accompanied your proxy materials.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Holders of record of shares of our common stock, $0.001 par value per share, (the “Common Stock”) and Series A Convertible Preferred Stock, $0.001 par value per share (“Convertible Preferred Stock”) at the close of business on April 27, 2026 (the “Record Date”), will be entitled to notice of the Annual Meeting and any continuation, postponement, or adjournment of the Annual Meeting. Stockholders of record of our Common Stock are entitled to vote at the Annual Meeting. Holders of our Convertible Preferred Stock are entitled to vote at the Annual Meeting, subject to the terms of the Convertible Preferred Stock as specified in the Amended and Restated Certificate of Designations for the Convertible Preferred Stock (the “Certificate of Designations”). For more information, see “Who can vote at the Annual Meeting?” below.</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When are this Proxy Statement and the accompanying materials scheduled to be sent to stockholders?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Proxy Statement and the Company’s Annual Report to Stockholders for the year ended December 31, 2025 (the “2025 Annual Report”) will be released on or about May 6, 2026 to our stockholders on the Record Date.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Notice of Internet Availability of Proxy Materials.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permitted by Securities and Exchange Commission (“SEC”) rules, Rhythm is making this Proxy Statement and its 2025 Annual Report available to its stockholders electronically via the Internet. On or about May 6, 2026, we will mail to our stockholders a Notice of Internet Availability of Proxy Materials (the “Internet Notice”) containing instructions on how to access this Proxy Statement and our 2025 Annual Report and vote online. If you received an Internet Notice by mail, you will not receive a printed copy of the proxy materials in the mail unless you specifically request them, by following the instructions for requesting such materials contained on the Internet Notice.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Internet Notice instructs you on how to access and review all of the important information contained in the Proxy Statement and 2025 Annual Report. The Internet Notice also instructs you on how you may submit your proxy over the Internet.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Who can vote at the Annual Meeting?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Record Date for the Annual Meeting is April 27, 2026. You are entitled to vote at the Annual Meeting only if you were a stockholder of record at the close of business on that date, or if you hold a valid proxy for the Annual Meeting. Each share of Common Stock entitles the holder to one vote on each matter presented at the Annual Meeting. As of the close of business on the Record Date, we had 68,530,107 shares of Common Stock outstanding.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voting rights of the Convertible Preferred Stock are subject to the terms of the Convertible Preferred Stock as specified in the Certificate of Designations. Each outstanding share of Convertible Preferred Stock entitles the holder thereof to a number of votes equal to 20.8333 shares of Common Stock per $1,000 liquidation preference of Convertible Preferred Stock.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the Convertible Preferred Stock are affiliates of Baker Bros. Advisors L.P. (“Baker Brothers”) and entities affiliated with Perceptive Advisors LLC (“Perceptive”). Inclusive of the Common Stock issuable upon conversion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of their respective shares of Convertible Preferred Stock, Baker Brothers beneficially held 8.2% of our Common Stock and Perceptive beneficially held 6.5% of our Common Stock as of the close of business on the Record Date. However, based on certain restrictions on the conversion of the Convertible Preferred Stock specified in the Certificate of Designations, a holder of Convertible Preferred Stock is not entitled to effect a conversion of any portion of its shares of Convertible Preferred Stock, or to vote in its capacity as a holder of shares of Convertible Preferred Stock with respect to matters submitted to holders of the Common Stock if, after giving effect to such conversion, that holder would beneficially own in excess of 4.99%, in the case of Baker Brothers, or 9.99%, in the case of Perceptive, of the number of shares of Common Stock outstanding immediately after giving effect to such exercise. As a result, of the 115,000 shares of Convertible Preferred Stock outstanding as of the close of business on the Record Date, of which Perceptive beneficially held 55,000 shares and Baker Brothers beneficially held 60,000 shares, Perceptive is entitled to 1,145,831 votes in respect of its Convertible Preferred Stock and Baker Brothers is not entitled to any votes in respect of its Convertible Preferred Stock at the Annual Meeting. For more information, see “Investment Agreement” in the section titled Certain Relationships and Related Party Transactions, and “Beneficial Ownership of Capital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is no cumulative voting.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Who can attend the Annual Meeting?</w:t>
      </w:r>
    </w:p>
    <w:p>
      <w:pPr>
        <w:pStyle w:val="TextBody"/>
        <w:bidi w:val="0"/>
        <w:spacing w:lineRule="auto" w:line="288" w:before="0" w:after="240"/>
        <w:jc w:val="left"/>
        <w:rPr/>
      </w:pPr>
      <w:r>
        <w:rPr>
          <w:rFonts w:ascii="Times New Roman;serif" w:hAnsi="Times New Roman;serif"/>
          <w:b w:val="false"/>
          <w:color w:val="000000"/>
          <w:sz w:val="20"/>
        </w:rPr>
        <w:t xml:space="preserve">The Annual Meeting will be held entirely online this year. You may attend the Annual Meeting online only if you are a stockholder who is entitled to vote at the Annual Meeting, or if you hold a valid proxy for the Annual Meeting. You may attend and participate in the Annual Meeting by visiting the following website: </w:t>
      </w:r>
      <w:r>
        <w:rPr>
          <w:rFonts w:ascii="Times New Roman;serif" w:hAnsi="Times New Roman;serif"/>
          <w:b w:val="false"/>
          <w:i/>
          <w:color w:val="000000"/>
          <w:sz w:val="20"/>
        </w:rPr>
        <w:t>www.meetnow.global/MQ27S2Z</w:t>
      </w:r>
      <w:r>
        <w:rPr>
          <w:rFonts w:ascii="Times New Roman;serif" w:hAnsi="Times New Roman;serif"/>
          <w:b w:val="false"/>
          <w:color w:val="000000"/>
          <w:sz w:val="20"/>
        </w:rPr>
        <w:t>. To attend and participate in the Annual Meeting, you will need the control number included in your Internet Notice, on any proxy card you received or on the instructions that accompanied your proxy materials. If you lose your control number, you may join the Annual Meeting as a “Guest” but you will not be able to vote, ask questions or access the list of stockholders as of the Record Date.</w:t>
      </w:r>
    </w:p>
    <w:p>
      <w:pPr>
        <w:pStyle w:val="TextBody"/>
        <w:bidi w:val="0"/>
        <w:spacing w:lineRule="auto" w:line="288" w:before="0" w:after="240"/>
        <w:jc w:val="left"/>
        <w:rPr/>
      </w:pPr>
      <w:r>
        <w:rPr>
          <w:rFonts w:ascii="Times New Roman;serif" w:hAnsi="Times New Roman;serif"/>
          <w:b w:val="false"/>
          <w:color w:val="000000"/>
          <w:sz w:val="20"/>
        </w:rPr>
        <w:t>If your shares are held in “street name,” as described below, you must register in advance to attend the Annual Meeting online or attend the Annual Meeting online using the control number provided by your bank or broker by following the instructions found under the caption “</w:t>
      </w:r>
      <w:r>
        <w:rPr>
          <w:rFonts w:ascii="Times New Roman;serif" w:hAnsi="Times New Roman;serif"/>
          <w:b w:val="false"/>
          <w:i/>
          <w:color w:val="000000"/>
          <w:sz w:val="20"/>
        </w:rPr>
        <w:t>How do I vote?</w:t>
      </w:r>
      <w:r>
        <w:rPr>
          <w:color w:val="000000"/>
        </w:rPr>
        <w:t xml:space="preserve">” </w:t>
      </w:r>
      <w:r>
        <w:rPr>
          <w:rFonts w:ascii="Times New Roman;serif" w:hAnsi="Times New Roman;serif"/>
          <w:b w:val="false"/>
          <w:color w:val="000000"/>
          <w:sz w:val="20"/>
        </w:rPr>
        <w:t>below. You will need to obtain your own Internet access if you choose to attend the Annual Meeting online and/or vote over the Internet.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meeting webcast will begin promptly at 2:00 p.m. Eastern Time. We encourage you to access the meeting prior to the start time, leaving ample time for check-in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What is the difference between a stockholder of record and beneficial owner of shares held in “street name”?</w:t>
      </w:r>
    </w:p>
    <w:p>
      <w:pPr>
        <w:pStyle w:val="TextBody"/>
        <w:bidi w:val="0"/>
        <w:spacing w:lineRule="auto" w:line="288" w:before="0" w:after="240"/>
        <w:jc w:val="left"/>
        <w:rPr/>
      </w:pPr>
      <w:r>
        <w:rPr>
          <w:rFonts w:ascii="Times New Roman;serif" w:hAnsi="Times New Roman;serif"/>
          <w:b w:val="false"/>
          <w:i/>
          <w:color w:val="000000"/>
          <w:sz w:val="20"/>
        </w:rPr>
        <w:t>Stockholder of Record.</w:t>
      </w:r>
      <w:r>
        <w:rPr>
          <w:color w:val="000000"/>
        </w:rPr>
        <w:t> </w:t>
      </w:r>
      <w:r>
        <w:rPr>
          <w:rFonts w:ascii="Times New Roman;serif" w:hAnsi="Times New Roman;serif"/>
          <w:b w:val="false"/>
          <w:color w:val="000000"/>
          <w:sz w:val="20"/>
        </w:rPr>
        <w:t>If your shares are registered directly in your name with our transfer agent, Computershare Trust Company, N.A. (“Computershare”), you are considered the stockholder of record with respect to those shares, and the Notice of Annual Meeting and Proxy Statement were sent directly to you by the Company.</w:t>
      </w:r>
    </w:p>
    <w:p>
      <w:pPr>
        <w:pStyle w:val="TextBody"/>
        <w:bidi w:val="0"/>
        <w:spacing w:lineRule="auto" w:line="288" w:before="0" w:after="240"/>
        <w:jc w:val="left"/>
        <w:rPr/>
      </w:pPr>
      <w:r>
        <w:rPr>
          <w:rFonts w:ascii="Times New Roman;serif" w:hAnsi="Times New Roman;serif"/>
          <w:b w:val="false"/>
          <w:i/>
          <w:color w:val="000000"/>
          <w:sz w:val="20"/>
        </w:rPr>
        <w:t>Beneficial Owner of Shares Held in “Street Name.” </w:t>
      </w:r>
      <w:r>
        <w:rPr>
          <w:color w:val="000000"/>
        </w:rPr>
        <w:t xml:space="preserve"> </w:t>
      </w:r>
      <w:r>
        <w:rPr>
          <w:rFonts w:ascii="Times New Roman;serif" w:hAnsi="Times New Roman;serif"/>
          <w:b w:val="false"/>
          <w:color w:val="000000"/>
          <w:sz w:val="20"/>
        </w:rPr>
        <w:t>If your shares are held in an account at a brokerage firm, bank, broker-dealer, nominee, or other similar organization, then you are the beneficial owner of shares held in “street name,” and the Notice and Proxy Statement were forwarded to you by that organization. The organization holding your account is considered the stockholder of record for purposes of voting at the Annual Meeting. As a beneficial owner, you have the right to direct that organization on how to vote the shares held in your account.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How do I vote?</w:t>
      </w:r>
    </w:p>
    <w:p>
      <w:pPr>
        <w:pStyle w:val="TextBody"/>
        <w:bidi w:val="0"/>
        <w:spacing w:lineRule="auto" w:line="288" w:before="0" w:after="240"/>
        <w:jc w:val="left"/>
        <w:rPr/>
      </w:pPr>
      <w:r>
        <w:rPr>
          <w:rFonts w:ascii="Times New Roman;serif" w:hAnsi="Times New Roman;serif"/>
          <w:b w:val="false"/>
          <w:i/>
          <w:color w:val="000000"/>
          <w:sz w:val="20"/>
        </w:rPr>
        <w:t>Stockholders of Record.</w:t>
      </w:r>
      <w:r>
        <w:rPr>
          <w:color w:val="000000"/>
        </w:rPr>
        <w:t> </w:t>
      </w:r>
      <w:r>
        <w:rPr>
          <w:rFonts w:ascii="Times New Roman;serif" w:hAnsi="Times New Roman;serif"/>
          <w:b w:val="false"/>
          <w:color w:val="000000"/>
          <w:sz w:val="20"/>
        </w:rPr>
        <w:t>If you are a stockholder of record, you may vote:</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By Internet before the Annual Meeting.</w:t>
      </w:r>
      <w:r>
        <w:rPr>
          <w:color w:val="000000"/>
        </w:rPr>
        <w:t> </w:t>
      </w:r>
      <w:r>
        <w:rPr>
          <w:rFonts w:ascii="Times New Roman;serif" w:hAnsi="Times New Roman;serif"/>
          <w:b w:val="false"/>
          <w:color w:val="000000"/>
          <w:sz w:val="20"/>
        </w:rPr>
        <w:t xml:space="preserve">You may vote by proxy via the Internet at </w:t>
      </w:r>
      <w:r>
        <w:rPr>
          <w:rFonts w:ascii="Times New Roman;serif" w:hAnsi="Times New Roman;serif"/>
          <w:b w:val="false"/>
          <w:i/>
          <w:color w:val="000000"/>
          <w:sz w:val="20"/>
        </w:rPr>
        <w:t>www.investorvote.com/RYTM</w:t>
      </w:r>
      <w:r>
        <w:rPr>
          <w:color w:val="000000"/>
        </w:rPr>
        <w:t xml:space="preserve"> </w:t>
      </w:r>
      <w:r>
        <w:rPr>
          <w:rFonts w:ascii="Times New Roman;serif" w:hAnsi="Times New Roman;serif"/>
          <w:b w:val="false"/>
          <w:color w:val="000000"/>
          <w:sz w:val="20"/>
        </w:rPr>
        <w:t>by following the instructions provided on the Internet Notice or any proxy card you received.</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By Telephone before the Annual Meeting.</w:t>
      </w:r>
      <w:r>
        <w:rPr>
          <w:color w:val="000000"/>
        </w:rPr>
        <w:t> </w:t>
      </w:r>
      <w:r>
        <w:rPr>
          <w:rFonts w:ascii="Times New Roman;serif" w:hAnsi="Times New Roman;serif"/>
          <w:b w:val="false"/>
          <w:color w:val="000000"/>
          <w:sz w:val="20"/>
        </w:rPr>
        <w:t>If you live in the United States or Canada, you may vote by proxy by calling toll-free 1-800-652-8683 and by following the instructions provided on the Internet Notice or any proxy card you received. You must have the control number that is included on the Internet Notice or proxy card when voting.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By Mail before the Annual Meeting.</w:t>
      </w:r>
      <w:r>
        <w:rPr>
          <w:color w:val="000000"/>
        </w:rPr>
        <w:t> </w:t>
      </w:r>
      <w:r>
        <w:rPr>
          <w:rFonts w:ascii="Times New Roman;serif" w:hAnsi="Times New Roman;serif"/>
          <w:b w:val="false"/>
          <w:color w:val="000000"/>
          <w:sz w:val="20"/>
        </w:rPr>
        <w:t>Complete and mail any proxy card you may have received in the accompanying postage prepaid envelope, and return the proxy card to Computershare Proxy Services, PO Box 43101, Providence, RI 02040-3101. Your proxy will be voted in accordance with your instructions. If you have received printed copies of these proxy materials and sign and return the enclosed proxy card but do not otherwise specify how you want your shares voted, they will be voted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election of the Class III director nominees named herein to the Board,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ratification of the selection of Ernst &amp; Young LLP as Rhythm’s independent registered public accounting firm for the fiscal year ending December 31, 2026, and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approval, on an advisory basis, of the compensation of our named executive officers (the “Say-on-Pay Vote”), and will be voted according to the discretion of the proxy holder named in the proxy card upon any other business that may properly be brought before the meeting and at all continuations, adjournments and postponements thereof.</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By Internet during the Annual Meeting.</w:t>
      </w:r>
      <w:r>
        <w:rPr>
          <w:color w:val="000000"/>
        </w:rPr>
        <w:t> </w:t>
      </w:r>
      <w:r>
        <w:rPr>
          <w:rFonts w:ascii="Times New Roman;serif" w:hAnsi="Times New Roman;serif"/>
          <w:b w:val="false"/>
          <w:color w:val="000000"/>
          <w:sz w:val="20"/>
        </w:rPr>
        <w:t>If you attend the meeting online, you will need the control number included in your Internet Notice or any proxy card you received or on the instructions that accompanied your proxy materials to vote electronically during the meeting.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Whether or not you expect to attend the Annual Meeting electronically, we urge you to vote your shares as promptly as possible to ensure your representation and the presence of a quorum at the Annual Meeting.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you submit your proxy in advance, you may still decide to attend the Annual Meeting and vote your shares or change your vote via the Internet during the Annual Meeting.</w:t>
      </w:r>
    </w:p>
    <w:p>
      <w:pPr>
        <w:pStyle w:val="TextBody"/>
        <w:bidi w:val="0"/>
        <w:spacing w:lineRule="auto" w:line="288" w:before="0" w:after="240"/>
        <w:jc w:val="left"/>
        <w:rPr/>
      </w:pPr>
      <w:r>
        <w:rPr>
          <w:rFonts w:ascii="Times New Roman;serif" w:hAnsi="Times New Roman;serif"/>
          <w:b w:val="false"/>
          <w:i/>
          <w:color w:val="000000"/>
          <w:sz w:val="20"/>
        </w:rPr>
        <w:t>Beneficial Owners of Shares Held in “Street Name.”</w:t>
      </w:r>
      <w:r>
        <w:rPr>
          <w:color w:val="000000"/>
        </w:rPr>
        <w:t> </w:t>
      </w:r>
      <w:r>
        <w:rPr>
          <w:rFonts w:ascii="Times New Roman;serif" w:hAnsi="Times New Roman;serif"/>
          <w:b w:val="false"/>
          <w:color w:val="000000"/>
          <w:sz w:val="20"/>
        </w:rPr>
        <w:t>If your shares are held in a brokerage account, by a bank, by a trustee, or by another nominee (also referred to as held in “street name”), you may:</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Vote in Advance.</w:t>
      </w:r>
      <w:r>
        <w:rPr>
          <w:color w:val="000000"/>
        </w:rPr>
        <w:t> </w:t>
      </w:r>
      <w:r>
        <w:rPr>
          <w:rFonts w:ascii="Times New Roman;serif" w:hAnsi="Times New Roman;serif"/>
          <w:b w:val="false"/>
          <w:color w:val="000000"/>
          <w:sz w:val="20"/>
        </w:rPr>
        <w:t>You may vote in advance of the Annual Meeting by following the voting instructions provided by your broker or other nominee and, if desired, attend the Annual Meeting webcast as a “Guest.” Most brokers or other nominees permit their customers to vote by telephone or by Internet, in addition to voting by signing, dating and returning the voting instruction form provided by the broker or other nominee.</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Register to Attend the Annual Meeting in Advance.</w:t>
      </w:r>
      <w:r>
        <w:rPr>
          <w:color w:val="000000"/>
        </w:rPr>
        <w:t> </w:t>
      </w:r>
      <w:r>
        <w:rPr>
          <w:rFonts w:ascii="Times New Roman;serif" w:hAnsi="Times New Roman;serif"/>
          <w:b w:val="false"/>
          <w:color w:val="000000"/>
          <w:sz w:val="20"/>
        </w:rPr>
        <w:t>You may register to attend the Annual Meeting webcast as a stockholder in advance (allowing you to both vote and ask questions during the Annual Meeting). To register to attend the Annual Meeting online in advance, you must submit proof of your proxy power (legal proxy) reflecting your holdings in the Company along with your name and email address to Computershare. Requests for registration must be labeled as “Legal Proxy” and be received no later than 5:00 p.m., Eastern Time, on June 19, 2026. You will receive a confirmation of your registration by email after Computershare receives your registration materials. Requests for registration should be directed to Computershare in the following manner: (1) by email: Forward the email from your broker, or attach an image of your legal proxy, to legalproxy@computershare.com; or (2) by mail: Computershare, Rhythm Pharmaceuticals, Inc. Legal Proxy, P.O. Box 43001, Providence, RI 02940-3001.</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Attend the Annual Meeting Using a Control Number.</w:t>
      </w:r>
      <w:r>
        <w:rPr>
          <w:color w:val="000000"/>
        </w:rPr>
        <w:t> </w:t>
      </w:r>
      <w:r>
        <w:rPr>
          <w:rFonts w:ascii="Times New Roman;serif" w:hAnsi="Times New Roman;serif"/>
          <w:b w:val="false"/>
          <w:color w:val="000000"/>
          <w:sz w:val="20"/>
        </w:rPr>
        <w:t>We expect that the vast majority of beneficial holders will be able to attend and participate in the Annual Meeting by logging into the Annual Meeting using the control number received with the voting instruction form provided by your broker or other nominee. However, some beneficial holders may need to request a legal proxy and register in advance of the Annual Meeting pursuant to the instructions above under “Register to Attend the Annual Meeting in Advance.” Please contact your broker or other nominee to confirm whether your control number will allow you to access the Annual Meeting or whether you will need to obtain a legal proxy and register in advance.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You will need to obtain your own Internet access if you choose to attend the Annual Meeting online and/or vote online.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What are the Board’s recommendations on how to vote my shares?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Board recommends a vote: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Proposal 1:</w:t>
      </w:r>
      <w:r>
        <w:rPr>
          <w:color w:val="000000"/>
        </w:rPr>
        <w:t>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election of each of David W. J. McGirr and David P. Meeker, M.D. as Class III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Proposal 2:</w:t>
      </w:r>
      <w:r>
        <w:rPr>
          <w:color w:val="000000"/>
        </w:rPr>
        <w:t>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ratification of the selection of Ernst &amp; Young LLP as Rhythm’s independent registered public accounting firm for the fiscal year ending December 31, 2026.</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Proposal 3:</w:t>
      </w:r>
      <w:r>
        <w:rPr>
          <w:color w:val="000000"/>
        </w:rPr>
        <w:t>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approval, on an advisory basis, of the Say-on-Pay Vote.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Who pays the cost for soliciting proxies?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Rhythm will bear the cost of solicitation of proxies. This includes the charges and expenses of brokerage firms and others for forwarding solicitation material to beneficial owners of our outstanding stock. Rhythm may solicit proxies by mail, personal interview, telephone or via the Internet through its officers, directors and other employees, who will receive no additional compensation for their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 Georgeson LLC, New York, New York, has been retained to assist us in the solicitation of proxies at a fee estimated not to exceed $16,000.</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Can I change or revoke my vote?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you are a holder of record, you may revoke your proxy at any time before it is voted by notifying the Secretary of Rhythm in writing at our principal executive offices, by returning a signed proxy with a later date, by transmitting a subsequent vote over the Internet or by telephone prior to the close of the Internet voting facility or the telephone voting facility, or by attending and voting at the Annual Meeting.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your stock is held in street name, you must contact your broker or nominee for instructions as to how to change or revoke your vote.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How is a quorum reached?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presence, online or by proxy, of holders of at least a majority of the issued and outstanding stock entitled to vote on the Record Date (with the Convertible Preferred Stock entitled to vote pursuant to the terms of the Certificate of Designations counted on an as-converted basis) is necessary to constitute a quorum for the transaction of business at the Annual Meeting. Abstentions and “broker non-votes,” if any, will be counted as present and entitled to vote for purposes of determining whether a quorum is present for the transaction of business at the meeting.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What are broker non-votes?</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0"/>
        </w:rPr>
        <w:t>Broker non-votes” are shares represented at the Annual Meeting held by brokers, banks or other nominees (i.e., in “street name”) which do not vote on a particular proposal because the nominee does not have discretionary voting power with respect to that item and has not received instructions from the beneficial owner. Generally, nominees may vote to ratify the selection of independent auditors (Proposal No. 2) and on other “discretionary” or “routine” items. In contrast, nominees may not vote to elect directors (Proposal No. 1), or to approve on an advisory (non-binding) basis the compensation of our named executive officers (Proposal No. 3), because those proposals are considered “non-discretionary” items. Accordingly, if you do not instruct your broker, bank or other nominee how to vote your shares on “non-discretionary” matters, your broker, bank or other nominee will not be permitted to vote your shares on these matters. This is a “broker non-vote.”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What vote is required to approve each item?</w:t>
      </w:r>
    </w:p>
    <w:p>
      <w:pPr>
        <w:pStyle w:val="TextBody"/>
        <w:bidi w:val="0"/>
        <w:spacing w:lineRule="auto" w:line="288" w:before="0" w:after="240"/>
        <w:jc w:val="left"/>
        <w:rPr/>
      </w:pPr>
      <w:r>
        <w:rPr>
          <w:rFonts w:ascii="Times New Roman;serif" w:hAnsi="Times New Roman;serif"/>
          <w:b w:val="false"/>
          <w:i/>
          <w:color w:val="000000"/>
          <w:sz w:val="20"/>
        </w:rPr>
        <w:t>Election of Directors (Proposal No. 1).</w:t>
      </w:r>
      <w:r>
        <w:rPr>
          <w:color w:val="000000"/>
        </w:rPr>
        <w:t> </w:t>
      </w:r>
      <w:r>
        <w:rPr>
          <w:rFonts w:ascii="Times New Roman;serif" w:hAnsi="Times New Roman;serif"/>
          <w:b w:val="false"/>
          <w:color w:val="000000"/>
          <w:sz w:val="20"/>
        </w:rPr>
        <w:t>Directors will be elected by a plurality of the votes cast (with the Convertible Preferred Stock entitled to vote pursuant to the terms of the Certificate of Designations voting, on an as-converted basis, together with the Common Stock as a single class). This means that the two individuals receiving the highest number of “FOR” votes will be elected as directors. Votes withheld and broker non-votes will not be treated as votes cast for this purpose and, therefore, will not affect the outcome of the election.</w:t>
      </w:r>
    </w:p>
    <w:p>
      <w:pPr>
        <w:pStyle w:val="TextBody"/>
        <w:bidi w:val="0"/>
        <w:spacing w:lineRule="auto" w:line="288" w:before="0" w:after="240"/>
        <w:jc w:val="left"/>
        <w:rPr/>
      </w:pPr>
      <w:r>
        <w:rPr>
          <w:rFonts w:ascii="Times New Roman;serif" w:hAnsi="Times New Roman;serif"/>
          <w:b w:val="false"/>
          <w:i/>
          <w:color w:val="000000"/>
          <w:sz w:val="20"/>
        </w:rPr>
        <w:t>Ratification of the Selection of Independent Registered Public Accounting Firm (Proposal No. 2).</w:t>
      </w:r>
      <w:r>
        <w:rPr>
          <w:color w:val="000000"/>
        </w:rPr>
        <w:t> </w:t>
      </w:r>
      <w:r>
        <w:rPr>
          <w:rFonts w:ascii="Times New Roman;serif" w:hAnsi="Times New Roman;serif"/>
          <w:b w:val="false"/>
          <w:color w:val="000000"/>
          <w:sz w:val="20"/>
        </w:rPr>
        <w:t xml:space="preserve">The affirmative vote of a majority of shares of our Common Stock and Convertible Preferred Stock (entitled to vote pursuant to the terms of the Certificate of Designations, voting on an as-converted basis), voting together as a single class, present or represented by proxy at the Annual Meeting and entitled to vote on the proposal, is required to ratify the selection of our independent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auditors. An abstention is treated as present and entitled to vote and, therefore, has the effect of a vote “against” the proposal. Because the ratification of the selection of the independent auditors is a routine matter, a nominee holding shares in street name may vote on this proposal in the absence of instructions from the beneficial owner and, therefore, we do not expect any broker non-votes on this proposal.</w:t>
      </w:r>
    </w:p>
    <w:p>
      <w:pPr>
        <w:pStyle w:val="TextBody"/>
        <w:bidi w:val="0"/>
        <w:spacing w:lineRule="auto" w:line="288" w:before="0" w:after="240"/>
        <w:jc w:val="left"/>
        <w:rPr/>
      </w:pPr>
      <w:r>
        <w:rPr>
          <w:rFonts w:ascii="Times New Roman;serif" w:hAnsi="Times New Roman;serif"/>
          <w:b w:val="false"/>
          <w:i/>
          <w:color w:val="000000"/>
          <w:sz w:val="20"/>
        </w:rPr>
        <w:t>Approval, on an Advisory (Non-Binding) Basis, of the Compensation of Our Named Executive Officers (“Say-on-Pay Vote”) (Proposal No. 3)</w:t>
      </w:r>
      <w:r>
        <w:rPr>
          <w:rFonts w:ascii="Times New Roman;serif" w:hAnsi="Times New Roman;serif"/>
          <w:b w:val="false"/>
          <w:color w:val="000000"/>
          <w:sz w:val="20"/>
        </w:rPr>
        <w:t>. The affirmative vote of a majority of shares of our Common Stock and Convertible Preferred Stock (entitled to vote pursuant to the terms of the Certificate of Designations, voting on an as-converted basis), voting together as a single class, present or represented by proxy at the Annual Meeting and entitled to vote on the proposal, is required to approve the compensation of our named executive officers. An abstention is treated as present and entitled to vote and, therefore, has the effect of a vote “against” the proposal. Broker non-votes will have no effect on the outcome of the vote on this proposal.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the Annual Meeting is adjourned or postponed for any purpose, at any subsequent reconvening of the meeting, your proxy will be voted in the same manner as it would have been voted at the original convening of the Annual Meeting unless you withdraw or revoke your proxy.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What if a quorum is not present at the Annual Meeting?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 quorum is not present or represented at the scheduled time of the Annual Meeting, the presiding officer of the Annual Meeting may adjourn the Annual Meeting without notice other than announcement at the meeting.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Could other matters be decided at the Annual Meeting?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Stockholders at an annual meeting will only be able to consider proposals or nominations specified in the Notice of Annual Meeting or brought before the meeting by or at the direction of our Board or by a stockholder of record on the Record Date for the meeting who is entitled to vote at the meeting and who has delivered timely written notice in proper form to our Corporate Secretary of the stockholder’s intention to bring such business before the meeting. As of the date of this Proxy Statement, Rhythm does not know of any other matters that may be presented for action at the Annual Meeting. Should any other business properly come before the meeting, the persons named on the enclosed proxy will have discretionary authority to vote the shares represented by such proxies in accordance with their best judgment to the same extent as the person signing the proxy would be entitled to vote. If you hold your shares through a broker, bank or other nominee as described above, the broker, bank or other nominee will not be able to vote your shares on any other business that comes before the Annual Meeting unless they receive instructions from you with respect to such matter.</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Why hold a virtual meeting?</w:t>
      </w:r>
    </w:p>
    <w:p>
      <w:pPr>
        <w:pStyle w:val="TextBody"/>
        <w:bidi w:val="0"/>
        <w:spacing w:lineRule="auto" w:line="288" w:before="0" w:after="240"/>
        <w:jc w:val="left"/>
        <w:rPr/>
      </w:pPr>
      <w:r>
        <w:rPr>
          <w:rFonts w:ascii="Times New Roman;serif" w:hAnsi="Times New Roman;serif"/>
          <w:b w:val="false"/>
          <w:color w:val="000000"/>
          <w:sz w:val="20"/>
        </w:rPr>
        <w:t xml:space="preserve">We believe that hosting a virtual meeting is in the best interest of the Company and its stockholders. A virtual meeting enables increased stockholder attendance and participation because stockholders can participate from any location around the world. You will be able to attend the Annual Meeting online and submit your questions by visiting </w:t>
      </w:r>
      <w:r>
        <w:rPr>
          <w:rFonts w:ascii="Times New Roman;serif" w:hAnsi="Times New Roman;serif"/>
          <w:b w:val="false"/>
          <w:i/>
          <w:color w:val="000000"/>
          <w:sz w:val="20"/>
        </w:rPr>
        <w:t>www.meetnow.global/MQ27S2Z</w:t>
      </w:r>
      <w:r>
        <w:rPr>
          <w:rFonts w:ascii="Times New Roman;serif" w:hAnsi="Times New Roman;serif"/>
          <w:b w:val="false"/>
          <w:color w:val="000000"/>
          <w:sz w:val="20"/>
        </w:rPr>
        <w:t>. You also will be able to vote your shares electronically at the Annual Meeting by following the instructions above.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What if during the check-in time or during the Annual Meeting I have technical difficulties or trouble accessing the virtual meeting website?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will have technicians ready to assist you with any technical difficulties you may have accessing the virtual meeting website. Please call 888-724-2416 (local) or +1 781-575-2748 (international) for assistance.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Will there be a question and answer session during the Annual Meeting?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Annual Meeting, we will hold a live Q&amp;A session, during which we intend to answer questions submitted online during the meeting that are pertinent to the Company and the meeting matters, as time permits. Only stockholders that have accessed the Annual Meeting as a stockholder (rather than a “Guest”) by following the procedures outlined above in “Who can attend the Annual Meeting?” will be permitted to submit questions during the Annual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Each stockholder is limited to no more than two questions. Questions should be succinct and only cover a single topic. We will not address questions that are, among other things: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irrelevant to the business of the Company or to the business of the Annual Meeting;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related to material non-public information of the Company, including the status or results of our business since our last Quarterly Report on Form 10-Q;</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related to any pending, threatened or ongoing litigation;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related to personal grievances;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derogatory references to individuals or that are otherwise in bad taste;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substantially repetitious of questions already made by another stockholder;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 excess of the two question limit;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 furtherance of the stockholder’s personal or business interests;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out of order or not otherwise suitable for the conduct of the Annual Meeting as determined by the Chair or Secretary in their reasonable judgment.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 information regarding the Q&amp;A session will be available in the “Rules of Conduct” available on the Annual Meeting webpage for stockholders that have accessed the Annual Meeting as a stockholder (rather than a “Guest”) by following the procedures outlined above in “Who can attend the Annual Meeting?”.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What happens if the meeting is continued, postponed or adjourned?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Your proxy may be voted at the continued, postponed or adjourned meeting. You will still be able to change your proxy until it is voted.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What does it mean if I receive more than one Internet Notice, proxy card or voting instruction form?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It means that you have multiple accounts at the transfer agent or with brokers. Please complete and return all proxy cards or voting instruction forms to ensure that all of your shares are voted.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Where can I find the voting results of the meeting?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preliminary voting results will be announced at the Annual Meeting. The final results will be disclosed in a Current Report on Form 8-K within four business days after the Annual Meeting date.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IMPORTANT NOTICE REGARDING THE AVAILABILITY OF PROXY MATERIALS FOR THE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2026 ANNUAL MEETING OF STOCKHOLDERS TO BE HELD ON June 24, 2026</w:t>
      </w:r>
    </w:p>
    <w:p>
      <w:pPr>
        <w:pStyle w:val="TextBody"/>
        <w:bidi w:val="0"/>
        <w:spacing w:lineRule="auto" w:line="288" w:before="0" w:after="440"/>
        <w:jc w:val="left"/>
        <w:rPr/>
      </w:pPr>
      <w:r>
        <w:rPr>
          <w:rFonts w:ascii="Times New Roman;serif" w:hAnsi="Times New Roman;serif"/>
          <w:b/>
          <w:color w:val="000000"/>
          <w:sz w:val="20"/>
        </w:rPr>
        <w:t xml:space="preserve">The Notice of Annual Meeting of Stockholders, this Proxy Statement and our Annual Report to securityholders are available free of charge at </w:t>
      </w:r>
      <w:r>
        <w:rPr>
          <w:rFonts w:ascii="Times New Roman;serif" w:hAnsi="Times New Roman;serif"/>
          <w:b/>
          <w:i/>
          <w:color w:val="000000"/>
          <w:sz w:val="20"/>
        </w:rPr>
        <w:t>www.edocumentview.com/RYTM</w:t>
      </w:r>
      <w:r>
        <w:rPr>
          <w:color w:val="000000"/>
        </w:rPr>
        <w:t xml:space="preserve"> </w:t>
      </w:r>
      <w:r>
        <w:rPr>
          <w:rFonts w:ascii="Times New Roman;serif" w:hAnsi="Times New Roman;serif"/>
          <w:b/>
          <w:color w:val="000000"/>
          <w:sz w:val="20"/>
        </w:rPr>
        <w:t xml:space="preserve">or </w:t>
      </w:r>
      <w:r>
        <w:rPr>
          <w:rFonts w:ascii="Times New Roman;serif" w:hAnsi="Times New Roman;serif"/>
          <w:b/>
          <w:i/>
          <w:color w:val="000000"/>
          <w:sz w:val="20"/>
        </w:rPr>
        <w:t>www.rhythmtx.com</w:t>
      </w:r>
      <w:r>
        <w:rPr>
          <w:color w:val="000000"/>
        </w:rPr>
        <w:t xml:space="preserve"> </w:t>
      </w:r>
      <w:r>
        <w:rPr>
          <w:rFonts w:ascii="Times New Roman;serif" w:hAnsi="Times New Roman;serif"/>
          <w:b/>
          <w:color w:val="000000"/>
          <w:sz w:val="20"/>
        </w:rPr>
        <w:t>under “Investors &amp; Media” at “SEC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PROPOSAL NO. 1—ELECTION OF DIRECTORS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accordance with Rhythm’s certificate of incorporation and bylaws, each as currently amended and in effect, the Board is divided into three classes of directors of approximately equal size. The members of each class of directors are elected to serve a three-year term with the term of office of each class ending in successive years. David W.J. McGirr and David P. Meeker, M.D. are the Class III directors whose terms expire at the Annual Meeting. Each of David W.J. McGirr and David P. Meeker, M.D. has been nominated for, and has agreed to stand for, election to the Board to serve as a Class III director of Rhythm for three years until the 2029 Annual Meeting of Stockholders and until his successor is duly elected and qualified or until his earlier death, incapacity, resignation or removal.</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It is intended that, unless you give contrary instructions, shares represented by proxies will be voted for the election of each of the two nominees listed above as director nominees. Rhythm has no reason to believe that any nominee will be unable to serve. In the event that one or more nominees is unexpectedly not available to serve, proxies may be voted for another person nominated as a substitute by the Board, or the Board may reduce the number of directors to be elected at the Annual Meeting. Information relating to each nominee for election as director and for each continuing director, including his or her period of service as a director of Rhythm, principal occupation and other biographical material, is included under “Director Biographies” below. Based on voluntary self-identification by our directors, our Board consists of three female and four male directors.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BOARD OF DIRECTORS UNANIMOUSLY RECOMMENDS THAT YOU VOTE “FOR”</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EACH OF THE CLASS III DIRECTOR NOMINEES NAMED IN THIS PROXY STATEMENT.</w:t>
      </w:r>
    </w:p>
    <w:p>
      <w:pPr>
        <w:pStyle w:val="TextBody"/>
        <w:bidi w:val="0"/>
        <w:spacing w:lineRule="auto" w:line="288" w:before="0" w:after="440"/>
        <w:jc w:val="center"/>
        <w:rPr>
          <w:rFonts w:ascii="Times New Roman;serif" w:hAnsi="Times New Roman;serif"/>
          <w:b/>
          <w:color w:val="000000"/>
          <w:sz w:val="20"/>
        </w:rPr>
      </w:pPr>
      <w:r>
        <w:rPr>
          <w:rFonts w:ascii="Times New Roman;serif" w:hAnsi="Times New Roman;serif"/>
          <w:b/>
          <w:color w:val="000000"/>
          <w:sz w:val="20"/>
        </w:rPr>
        <w:t>(PROPOSAL NO.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1485"/>
                <wp:effectExtent l="0" t="0" r="0" b="0"/>
                <wp:wrapNone/>
                <wp:docPr id="14" name="Frame1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BOARD OF DIRECTORS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Board Composition and Structure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each as currently amended and in effect, state that our Board shall consist of a number of directors that shall be fixed exclusively by the Board from time to time in accordance with the bylaws of the Company. Each director holds office until his or her successor is duly elected and qualified or until his or her death, incapacity, resignation or removal. Our certificate of incorporation provides that our directors may be removed only for cause by the affirmative vote of the holders of at least 75% of the voting power of the outstanding shares of capital stock of Rhythm entitled to vote in the election of directors, voting together as a single class, at a meeting of the stockholders called for that purpose. Any vacancy in the Board, including a vacancy that results from an increase in the number of directors, may be filled only by the vote of a majority of the remaining directors then in office, although less than a quorum, or by the sole remaining director.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as currently amended and in effect, provides that our Board is divided into three classes of directors, with the classes as nearly equal in number as possible. Each of our directors identified below serves in the class indicated. Subject to any earlier resignation or removal in accordance with the terms of our certificate of incorporation and bylaws, our current Class I directors will serve until the 2027 Annual Meeting of Stockholders; our current Class II directors, will serve until the 2028 Annual Meeting of Stockholders; and our current Class III directors, if elected at the Annual Meeting, will serve until the 2029 Annual Meeting of Stockholders. Any additional directorships resulting from an increase in the number of directors will be apportioned by our Board among the three classes as equally as possible.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Below is a list of the names, ages as of April 27, 2026 and classification of the individuals who currently serve as our directors, two of whom are also nominees to be re-elected at the Annual Meeting.</w:t>
      </w:r>
    </w:p>
    <w:tbl>
      <w:tblPr>
        <w:tblW w:w="8135" w:type="dxa"/>
        <w:jc w:val="left"/>
        <w:tblInd w:w="0" w:type="dxa"/>
        <w:tblLayout w:type="fixed"/>
        <w:tblCellMar>
          <w:top w:w="28" w:type="dxa"/>
          <w:left w:w="28" w:type="dxa"/>
          <w:bottom w:w="28" w:type="dxa"/>
          <w:right w:w="28" w:type="dxa"/>
        </w:tblCellMar>
      </w:tblPr>
      <w:tblGrid>
        <w:gridCol w:w="771"/>
        <w:gridCol w:w="675"/>
        <w:gridCol w:w="684"/>
        <w:gridCol w:w="109"/>
        <w:gridCol w:w="109"/>
        <w:gridCol w:w="109"/>
        <w:gridCol w:w="130"/>
        <w:gridCol w:w="130"/>
        <w:gridCol w:w="131"/>
        <w:gridCol w:w="109"/>
        <w:gridCol w:w="109"/>
        <w:gridCol w:w="109"/>
        <w:gridCol w:w="898"/>
        <w:gridCol w:w="898"/>
        <w:gridCol w:w="904"/>
        <w:gridCol w:w="109"/>
        <w:gridCol w:w="109"/>
        <w:gridCol w:w="109"/>
        <w:gridCol w:w="160"/>
        <w:gridCol w:w="160"/>
        <w:gridCol w:w="161"/>
        <w:gridCol w:w="109"/>
        <w:gridCol w:w="109"/>
        <w:gridCol w:w="109"/>
        <w:gridCol w:w="329"/>
        <w:gridCol w:w="329"/>
        <w:gridCol w:w="467"/>
      </w:tblGrid>
      <w:tr>
        <w:trPr/>
        <w:tc>
          <w:tcPr>
            <w:tcW w:w="7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Term Expires</w:t>
            </w:r>
          </w:p>
        </w:tc>
      </w:tr>
      <w:tr>
        <w:trPr/>
        <w:tc>
          <w:tcPr>
            <w:tcW w:w="213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Stuart A. Arbuckle(1)(3)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2027</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Good(2)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2028</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 R. Jean(2)(3)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2027</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W. J. McGirr(2)(3)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P. Meeker,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Chairman of the 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Kimberly J. Popovits(1)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2028</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Lynn A. Tetrault, J.D.(1)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2027</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(1)Member of the Compensation &amp; Management Development Committee.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(2)Member of the Audit Committee.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(3)Member of the Governance &amp; Nominating Committee.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consultation with the Governance &amp; Nominating Committee, the Board has determined that the classified board structure remains appropriate for us at this time. A classified board provides for stability, continuity and experience among our Board. Further, the Board believes that building a cohesive board is an important goal. In our industry in particular, long-term focus is critical. The time horizon required for successful development of pharmaceuticals makes it vital that we have a board that understands the implications of this process and has the ability to develop and implement long-term strategies while benefiting from an in-depth knowledge of Rhythm’s business and operations. A classified board structure helps to ensure that there will be the continuity and stability of leadership required to navigate a challenging economic environment while resisting the pressure to focus on short-term results at the expense of our long-term value and success. The future success of Rhythm depends in significant part on the ability to attract and retain capable and experienced directors. In this regard, we believe that longer terms for our directors will enhance director independence from both management and stockholder special interest groups.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1485"/>
                <wp:effectExtent l="0" t="0" r="0" b="0"/>
                <wp:wrapNone/>
                <wp:docPr id="15" name="Frame1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Director Biographies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Information concerning our continuing directors and director nominees is set forth below. The biographical description of each continuing director and director nominee includes the specific experience, qualifications, attributes and skills that led the Board to conclude that such person should serve as a director.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Class III Directors (Nominees Standing for Re-Election)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David W.J. McGirr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Mr. McGirr has served as a member of our Board since 2015. Mr. McGirr also serves as a director of Insmed Incorporated, a pharmaceutical company devoted to the treatment of rare diseases. Previously, Mr. McGirr held various roles at Cubist Pharmaceuticals, including Senior Advisor to the chief executive officer and Senior Vice President and Chief Financial Officer. Prior to joining Cubist, Mr. McGirr was the President and Chief Operating Officer of Hippo Inc., an internet technology, venture-financed company. Before that, he held roles of increasing responsibility at GAB Robins North America, Inc., a risk management company, including as Chief Executive Officer. Earlier in his career, Mr. McGirr served in various positions within the S.G. Warburg Group, ultimately as Chief Financial Officer, Chief Administrative Officer and Managing Director of S.G. Warburg &amp; Co., Inc. Mr. McGirr received a B.Sc. in Civil Engineering from the University of Glasgow and received an M.B.A. from The Wharton School at the University of Pennsylvania. Mr. McGirr has been designated an audit committee financial expert as defined in applicable SEC rules.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concluding that he is qualified to serve as a director, the Board considered Mr. McGirr’s deep experience in corporate finance and financial reporting, as well as his knowledge, perspective and corporate governance expertise. The Board also considered that his expertise in financial and accounting matters, his prior experience as Chief Financial Officer of a leading biotechnology company, and his service on other public company boards and committees would significantly benefit the Company.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David P. Meeker, M.D.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Dr. Meeker has served as a member of our Board since 2015 and became Chairman of the Board in April 2017. Dr. Meeker has served as our President and Chief Executive Officer since July 2020. Previously, Dr. Meeker served as CEO of KSQ Therapeutics, Inc., a biotechnology company, from October 2017 to July 2020. From October 2011 until June 2017, Dr. Meeker served as President and CEO of Genzyme Corporation and subsequently as EVP, Head Sanofi Genzyme, a unit of Sanofi S.A., a global pharmaceutical company. Dr. Meeker oversaw the company’s specialty business units—Rare Diseases, Multiple Sclerosis, Oncology and Immunology. As an Executive Vice President of Sanofi S.A., he was a member of Sanofi S.A.’s Executive Committee. Dr. Meeker joined Genzyme Corporation in 1994 as Medical Director to work on the Cystic Fibrosis Gene Therapy program. Subsequently, as Vice President, Medical Affairs, he was responsible for the development of rare disease therapies that today represent transformative and life-saving advancements in medicine for patients. Prior to Genzyme Corporation’s merger with Sanofi S.A. in 2011, Dr. Meeker was Genzyme Corporation’s Chief Operating Officer, responsible for its commercial organization, overseeing its business units, country management organization and global market access functions. He played an important role in the integration with Sanofi S.A. Prior to joining Genzyme Corporation, Dr. Meeker was the director of the Pulmonary Critical Care Fellowship at the Cleveland Clinic and an assistant professor of medicine at Ohio State University. Dr. Meeker is currently Chairman of the board of directors of Pharvaris GmbH and the Chairman of the board of directors of Trevi Therapeutics, Inc. He has authored more than 40 articles and multiple book chapters. Dr. Meeker received his M.D. from the University of Vermont Medical School. He completed the Advanced Management Program at Harvard Business School in 2000.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concluding that he is qualified to serve as a director, the Board considered Dr. Meeker’s deep experience as a senior executive at leading global pharmaceutical companies, including his experience serving as our President and Chief Executive Officer, and his involvement in the development and commercialization of pharmaceutical product candidates for the treatment of rare and ultra-rare diseases. The Board also considered the integral role he played in the growth of Genzyme during its period of rapid growth. The Board also noted Dr. Meeker’s extensive scientific and clinical experience, both in academia and as part of one of the world’s leading medical institutions.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1485"/>
                <wp:effectExtent l="0" t="0" r="0" b="0"/>
                <wp:wrapNone/>
                <wp:docPr id="16" name="Frame1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Continuing Directors Not Standing for Re-Election at the 2026 Annual Meeting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Stuart A. Arbuckle</w:t>
      </w:r>
    </w:p>
    <w:p>
      <w:pPr>
        <w:pStyle w:val="TextBody"/>
        <w:bidi w:val="0"/>
        <w:spacing w:lineRule="auto" w:line="288" w:before="0" w:after="240"/>
        <w:jc w:val="left"/>
        <w:rPr/>
      </w:pPr>
      <w:r>
        <w:rPr>
          <w:rFonts w:ascii="Times New Roman;serif" w:hAnsi="Times New Roman;serif"/>
          <w:b w:val="false"/>
          <w:color w:val="000000"/>
          <w:sz w:val="20"/>
        </w:rPr>
        <w:t>Mr. Arbuckle has served as a member of our Board since July 2019. From August 2021 to July 2025, Mr. Arbuckle was Executive Vice President and Chief Operating Officer at Vertex Pharmaceuticals Incorporated, a biopharmaceutical company, where he was responsible for the company’s global commercial team, including reimbursement and access, sales, marketing, patient support, market research and other activities that supported the approved use of Vertex’s cystic fibrosis medicines. Mr. Arbuckle also oversaw the Human Resources, Corporate Communications and Program and Portfolio Management functions. Prior to assuming that role, he served as Executive Vice President and Chief Commercial Officer at Vertex from September 2012 to March 2021. Prior to joining Vertex, Mr. Arbuckle held several commercial leadership positions at Amgen Inc., including leading sales and marketing efforts for Amgen Inc.’s portfolio of cancer medicines, such as Aranesp</w:t>
      </w:r>
      <w:r>
        <w:rPr>
          <w:rFonts w:ascii="Times New Roman;serif" w:hAnsi="Times New Roman;serif"/>
          <w:b w:val="false"/>
          <w:color w:val="000000"/>
          <w:sz w:val="10"/>
        </w:rPr>
        <w:t>®</w:t>
      </w:r>
      <w:r>
        <w:rPr>
          <w:rFonts w:ascii="Times New Roman;serif" w:hAnsi="Times New Roman;serif"/>
          <w:b w:val="false"/>
          <w:color w:val="000000"/>
          <w:sz w:val="20"/>
        </w:rPr>
        <w:t>, Neulasta</w:t>
      </w:r>
      <w:r>
        <w:rPr>
          <w:rFonts w:ascii="Times New Roman;serif" w:hAnsi="Times New Roman;serif"/>
          <w:b w:val="false"/>
          <w:color w:val="000000"/>
          <w:sz w:val="10"/>
        </w:rPr>
        <w:t>®</w:t>
      </w:r>
      <w:r>
        <w:rPr>
          <w:color w:val="000000"/>
        </w:rPr>
        <w:t xml:space="preserve"> </w:t>
      </w:r>
      <w:r>
        <w:rPr>
          <w:rFonts w:ascii="Times New Roman;serif" w:hAnsi="Times New Roman;serif"/>
          <w:b w:val="false"/>
          <w:color w:val="000000"/>
          <w:sz w:val="20"/>
        </w:rPr>
        <w:t>injection and NEUPOGEN</w:t>
      </w:r>
      <w:r>
        <w:rPr>
          <w:rFonts w:ascii="Times New Roman;serif" w:hAnsi="Times New Roman;serif"/>
          <w:b w:val="false"/>
          <w:color w:val="000000"/>
          <w:sz w:val="10"/>
        </w:rPr>
        <w:t>®</w:t>
      </w:r>
      <w:r>
        <w:rPr>
          <w:rFonts w:ascii="Times New Roman;serif" w:hAnsi="Times New Roman;serif"/>
          <w:b w:val="false"/>
          <w:color w:val="000000"/>
          <w:sz w:val="20"/>
        </w:rPr>
        <w:t>, and leading the successful launches of XGEVA</w:t>
      </w:r>
      <w:r>
        <w:rPr>
          <w:rFonts w:ascii="Times New Roman;serif" w:hAnsi="Times New Roman;serif"/>
          <w:b w:val="false"/>
          <w:color w:val="000000"/>
          <w:sz w:val="10"/>
        </w:rPr>
        <w:t>®</w:t>
      </w:r>
      <w:r>
        <w:rPr>
          <w:color w:val="000000"/>
        </w:rPr>
        <w:t xml:space="preserve"> </w:t>
      </w:r>
      <w:r>
        <w:rPr>
          <w:rFonts w:ascii="Times New Roman;serif" w:hAnsi="Times New Roman;serif"/>
          <w:b w:val="false"/>
          <w:color w:val="000000"/>
          <w:sz w:val="20"/>
        </w:rPr>
        <w:t>injection and Nplate</w:t>
      </w:r>
      <w:r>
        <w:rPr>
          <w:rFonts w:ascii="Times New Roman;serif" w:hAnsi="Times New Roman;serif"/>
          <w:b w:val="false"/>
          <w:color w:val="000000"/>
          <w:sz w:val="10"/>
        </w:rPr>
        <w:t>®</w:t>
      </w:r>
      <w:r>
        <w:rPr>
          <w:color w:val="000000"/>
        </w:rPr>
        <w:t xml:space="preserve"> </w:t>
      </w:r>
      <w:r>
        <w:rPr>
          <w:rFonts w:ascii="Times New Roman;serif" w:hAnsi="Times New Roman;serif"/>
          <w:b w:val="false"/>
          <w:color w:val="000000"/>
          <w:sz w:val="20"/>
        </w:rPr>
        <w:t>injection. Most recently, he served as Vice President and Regional General Manager at Amgen Inc., where he led efforts to expand the company’s presence in Asia, the Middle East, and Africa. Prior to these roles, Mr. Arbuckle spent 15 years at GlaxoSmithKline plc, where he held sales and marketing roles for medicines aimed at treating metabolic, respiratory, musculoskeletal, cardiovascular and other diseases. Mr. Arbuckle serves on the boards of Alnylam Pharmaceuticals, Inc. and Praxis Precision Medicines, Inc. Mr. Arbuckle previously served as a board member of ImmunoGen, Inc. from January 2019 to February 2024. Mr. Arbuckle holds a BSc in Pharmacology and Physiology from the University of Leeds in the United Kingdom.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Board considered Mr. Arbuckle’s senior executive roles at publicly-held life sciences companies, as well as his service on the boards of directors of biotechnology companies and organizations, in concluding that he is qualified to serve as a director.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Jennifer Good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Ms. Good has served as a member of our Board since June 2019. She is a co-founder of Trevi Therapeutics, Inc., a clinical-stage biopharmaceutical company, and has served as a member of the board of directors and as the President and Chief Executive Officer of Trevi Therapeutics, Inc. since its inception in 2011. Previously, Ms. Good served at Penwest Pharmaceuticals Co. from 1997 to 2010, where she held various positions including President and Chief Executive Officer, Chief Operating Officer and Chief Financial Officer. Ms. Good received a Bachelor of Business Administration degree with a concentration in accounting from Pacific Lutheran University in 1987 and is a Certified Public Accountant (inactive).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considered the role Ms. Good played in the founding and growth of Trevi Therapeutics, Inc. and her senior executive roles at publicly traded life sciences companies, as well as her service on the boards of directors of biotechnology companies and other organizations, in concluding that she is qualified to serve as a director.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Christophe R. Jean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Mr. Jean has served as a member of our Board since 2015. He is currently a Strategic Advisor for Oraxys S.A., a private equity firm, a role he has held since June 2019 and an External Advisor to Bain &amp; Company, a management consulting firm, since January 2025. Mr. Jean previously served as a Senior Advisor for JSB Partners, LLC, a specialized biotechnology and pharmaceutical investment banking and advisory services firm, from March 2018 until December 2019. Previously, Mr. Jean served as Executive Vice President of Corporate Strategy, Business Development, Alliances and M&amp;A for Ipsen S.A., a pharmaceutical company, from 2013 until his retirement in July 2018, after serving for 11 years in the position of Executive Vice President, Chief Operating Officer, with responsibility for all commercial operations and medical affairs worldwide as well as Ipsen S.A.’s therapeutic area franchises. Prior to joining Ipsen S.A., Mr. Jean was President and CEO for the pharmaceutical activities of the Pierre Fabre Group and Head of Europe, Middle East, and Africa for Novartis Pharma AG’s Pharmaceutical Division. Prior to the merger of Ciba-Geigy AG and Sandoz Inc. that formed Novartis Pharma AG, he held a number of marketing and management positions in Europe and Latin America for Ciba-Geigy AG, culminating as Head of Finance and IT Worldwide and Member of the Pharma Executive Committee. Mr. Jean also serves on the boards of directors of private companies. He holds an M.B.A. from Harvard Business School.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considered Mr. Jean’s international business experience and executive leadership at several of the world’s leading pharmaceutical companies and his long career in commercial leadership roles in concluding that he is qualified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1485"/>
                <wp:effectExtent l="0" t="0" r="0" b="0"/>
                <wp:wrapNone/>
                <wp:docPr id="17" name="Frame1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serve as a director. The Board also considered Mr. Jean’s extensive experience in commercializing therapeutics outside of the United States.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Kimberly J. Popovits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Kimberly J. Popovits has served on our board of directors since April 2026. Ms. Popovits has served as a Senior Advisor to Blackstone Life Sciences since 2020. She served as President and Chief Executive Officer of Genomic Health, Inc., a publicly traded healthcare company, from January 2009, and as Chairman of the Board of Genomic Health, Inc. from March 2012, until the acquisition of Genomic Health, Inc. by Exact Sciences Corporation in November 2019. Ms. Popovits previously served as President and Chief Operating Officer of Genomic Health from February 2002 to January 2009. Prior to leading Genomic Health, Ms. Popovits served as Senior Vice President, Marketing and Sales at Genentech, Inc. (“Genentech”). During her 15 years at Genentech, Ms. Popovits led the successful commercialization of 14 new therapies. Ms. Popovits currently serves on the board of directors of 10x Genomics, Inc. and Kiniksa Pharmaceuticals International, plc. Ms. Popovits served on the board of directors of Talis Biomedical Corporation, a publicly-traded biotechnology company, from 2020 to 2025, where she also served as Interim Chief Executive Officer from August 2021 to November 2021. She previously served on the board of directors of MyoKardia, Inc., a publicly-traded biopharmaceutical company that was subsequently acquired by Bristol Myers Squibb and Exact Sciences. She holds a B.A. in Business from Michigan State University.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Board considered Ms. Popovits's senior executive roles in publicly traded life sciences companies, her extensive experience and strong background in executive leadership at commercial-stage companies, as well as her service on the boards of directors of numerous publicly held biotechnology companies, in concluding that she is qualified to serve as a director.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Lynn A. Tetrault, J.D.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Ms. Tetrault has served as a member of our Board since December 2020. Ms. Tetrault currently serves as a board member and Independent Chairperson of NeoGenomics, Inc., a publicly held oncology diagnostics company, and served as Interim Chief Executive Officer of NeoGenomics from March 2022 to August 2022. She joined the board of NeoGenomics in 2015. Ms. Tetrault serves on the board of directors of Alumis, Inc., previously Acelyrin, Inc., a publicly held biotechnology company, since December 2023. Ms. Tetrault spent most of her career at AstraZeneca PLC serving in a variety of senior positions, including most recently as Executive Vice President of Human Resources and Corporate Affairs from May 2007 to March 2014. In May 2017, Ms. Tetrault founded Anahata Leadership, Inc., an advisory firm focused on supporting the leadership and development of executive women, and she continues to serve as its principal. Ms. Tetrault began her career as a lawyer in private healthcare practice in Boston. Ms. Tetrault holds a B.A. from Princeton University and a J.D. from the University of Virginia. </w:t>
      </w:r>
    </w:p>
    <w:p>
      <w:pPr>
        <w:pStyle w:val="TextBody"/>
        <w:bidi w:val="0"/>
        <w:spacing w:lineRule="auto" w:line="288" w:before="0" w:after="1040"/>
        <w:jc w:val="left"/>
        <w:rPr>
          <w:rFonts w:ascii="Times New Roman;serif" w:hAnsi="Times New Roman;serif"/>
          <w:b w:val="false"/>
          <w:color w:val="000000"/>
          <w:sz w:val="20"/>
        </w:rPr>
      </w:pPr>
      <w:r>
        <w:rPr>
          <w:rFonts w:ascii="Times New Roman;serif" w:hAnsi="Times New Roman;serif"/>
          <w:b w:val="false"/>
          <w:color w:val="000000"/>
          <w:sz w:val="20"/>
        </w:rPr>
        <w:t xml:space="preserve">In concluding that she is qualified to serve as a director, the Board considered Ms. Tetrault’s significant experience as a senior executive at a global biopharmaceutical company, her strong background in executive leadership, and her service on the boards of several publicly held healthcare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1485"/>
                <wp:effectExtent l="0" t="0" r="0" b="0"/>
                <wp:wrapNone/>
                <wp:docPr id="18" name="Frame1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CORPORATE GOVERNANCE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the rules of The Nasdaq Stock Market LLC, or Nasdaq, a majority of a listed company’s board of directors must be comprised of independent directors. In addition, Nasdaq rules require that, subject to specified exceptions, each member of a listed company’s audit committee and compensation committee be independent and satisfy additional independence criteria set forth in Rules 10A-3 and 10C-1, respectively, under the Securities Exchange Act of 1934, as amended, or the Exchange Act.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Based upon information requested from and provided by our directors and nominees concerning their background, employment and affiliations, including family relationships, our Board has determined, upon the recommendation of our Governance &amp; Nominating Committee, that each of Stuart A. Arbuckle, Jennifer Good, Christophe R. Jean, David W. J. McGirr, Kimberly J. Popovits and Lynn A. Tetrault, J.D. has no relationship that would interfere with the exercise of independent judgment in carrying out the responsibilities of a director and is independent within the meaning of the director independence standards of Nasdaq and the Securities and Exchange Commission, or SEC. In addition, the Board determined that Camille Bedrosian, who served on our Board and our Compensation &amp; Management Development Committee in 2025, also qualified as independent while she served on the Board. Our Board has also determined that each of the current members of our Audit Committee and our Compensation &amp; Management Development Committee as set forth in the “Board Committees” section below satisfies the heightened independence standards for such committee. In making such determination, our Board considered the relationships that each non-employee director has with Rhythm and all other facts and circumstances deemed relevant in determining their independence.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are no family relationships among any of our directors, nominees or executive officers.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Board Meetings, Attendance and Executive Sessions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Board held seven meetings during the year ended December 31, 2025. All board members attended at least 75% of the meetings of the Board and the committees of the Board on which they served.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Executive sessions without management present are held regularly.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Rhythm encourages its directors to attend the Annual Meeting. All eight members of the Board serving at the time attended the 2025 Annual Meeting of Stockholders.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Board of Directors Leadership Structure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Corporate Governance Guidelines provide our Board with flexibility to combine or separate the positions of Chairman of the Board and Chief Executive Officer in accordance with its determination that utilizing one or the other structure would be in the best interests of our Company. At the current time, David P. Meeker, M.D., our President and Chief Executive Officer, serves as Chairman of the Board. Our Board has determined that combining the roles of Chairman of the Board and Chief Executive Officer is best for our company and our stockholders at this time because it promotes unified leadership by Dr. Meeker and allows for a single, clear focus for management to execute the Company’s strategy and business plans. If the Chairman of the Board is a member of management or does not otherwise qualify as independent, our Corporate Governance Guidelines provide for the appointment by the independent directors of a Lead Director. The independent directors have appointed Lynn A. Tetrault as the Lead Director. The Lead Director’s responsibilities include, but are not limited to, presiding over all meetings of the Board of Directors at which the Chairman of the Board is not present, including any executive sessions of the independent directors, and acting as liaison between the independent directors of the Board and the Chief Executive Officer and the Chairman of the Board. Our Board is comprised of individuals with extensive experience with the biotechnology and pharmaceutical industries and a majority of our directors meet the independence standards of Nasdaq. For these reasons and because of the strong leadership of Dr. Meeker as Chairman of the Board and Chief Executive Officer and the counterbalancing role of the Lead Director, our Board has concluded that our current leadership structure is appropriate at this time. However, our Board will continue to periodically review our leadership structure and may make such changes in the future as it deems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1485"/>
                <wp:effectExtent l="0" t="0" r="0" b="0"/>
                <wp:wrapNone/>
                <wp:docPr id="19" name="Frame1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Board of Directors’ Role in Risk Oversight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Board is responsible for overseeing our risk management processes. The Board receives reports from management regarding our assessment of risks. The Board focuses on our general risk management strategies, including business continuity risks, and our major cybersecurity risk exposures and the steps our management has taken to monitor and control these exposures. The Board also monitors compliance with legal and regulatory requirements. The Audit Committee focuses on financial risks, including financial information risks, and considers and approves or disapproves any related person transactions. In addition, our Compensation &amp; Management Development Committee assesses and monitors whether any of our compensation policies and programs has the potential to encourage excessive risk-taking, and the Governance &amp; Nominating Committee oversees risks associated with the independence of the Board and monitors the effectiveness of our corporate governance guidelines.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While the Board oversees our risk management, management is responsible for day-to-day risk management processes. Our Board expects management to consider risk and risk management in each business decision, to proactively develop and monitor risk management strategies and processes for day-to-day activities and to effectively implement risk management strategies. Management discusses strategic and operational risks at regular management meetings and conducts specific strategic planning and review sessions during the year that include a focused discussion and analysis of the risks facing our business.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We believe this division of responsibilities is the most effective approach for addressing the risks we face and that the leadership structure of our Board, which also emphasizes the independence of the Board in its oversight of its business and affairs, supports this approach.</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Board Committees</w:t>
      </w:r>
    </w:p>
    <w:p>
      <w:pPr>
        <w:pStyle w:val="TextBody"/>
        <w:bidi w:val="0"/>
        <w:spacing w:lineRule="auto" w:line="288" w:before="0" w:after="200"/>
        <w:jc w:val="left"/>
        <w:rPr/>
      </w:pPr>
      <w:r>
        <w:rPr>
          <w:rFonts w:ascii="Times New Roman;serif" w:hAnsi="Times New Roman;serif"/>
          <w:b w:val="false"/>
          <w:color w:val="000000"/>
          <w:sz w:val="20"/>
        </w:rPr>
        <w:t xml:space="preserve">Our Board has established the following standing committees: an Audit Committee, a Compensation &amp; Management Development Committee, and a Governance &amp; Nominating Committee. The composition and responsibilities of each committee are described below. Members serve on these committees until their resignation or until otherwise determined by our Board. Each of the Audit Committee, Compensation &amp; Management Development Committee and Governance &amp; Nominating Committee operates pursuant to a written charter and each committee reviews and assesses the adequacy of its charter periodically and recommends any proposed changes to the Board for approval. The charters for the Audit Committee, Compensation &amp; Management Development Committee, and Governance &amp; Nominating Committee are all available on our website at </w:t>
      </w:r>
      <w:r>
        <w:rPr>
          <w:rFonts w:ascii="Times New Roman;serif" w:hAnsi="Times New Roman;serif"/>
          <w:b w:val="false"/>
          <w:i/>
          <w:color w:val="000000"/>
          <w:sz w:val="20"/>
        </w:rPr>
        <w:t>www.rhythmtx.com</w:t>
      </w:r>
      <w:r>
        <w:rPr>
          <w:color w:val="000000"/>
        </w:rPr>
        <w:t xml:space="preserve"> </w:t>
      </w:r>
      <w:r>
        <w:rPr>
          <w:rFonts w:ascii="Times New Roman;serif" w:hAnsi="Times New Roman;serif"/>
          <w:b w:val="false"/>
          <w:color w:val="000000"/>
          <w:sz w:val="20"/>
        </w:rPr>
        <w:t>under “Investors &amp; Media” at “Corporate Governance.”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describes which directors serve on each of the Board committees.</w:t>
      </w:r>
    </w:p>
    <w:tbl>
      <w:tblPr>
        <w:tblW w:w="7264" w:type="dxa"/>
        <w:jc w:val="center"/>
        <w:tblInd w:w="0" w:type="dxa"/>
        <w:tblLayout w:type="fixed"/>
        <w:tblCellMar>
          <w:top w:w="28" w:type="dxa"/>
          <w:left w:w="28" w:type="dxa"/>
          <w:bottom w:w="28" w:type="dxa"/>
          <w:right w:w="28" w:type="dxa"/>
        </w:tblCellMar>
      </w:tblPr>
      <w:tblGrid>
        <w:gridCol w:w="673"/>
        <w:gridCol w:w="589"/>
        <w:gridCol w:w="597"/>
        <w:gridCol w:w="109"/>
        <w:gridCol w:w="109"/>
        <w:gridCol w:w="109"/>
        <w:gridCol w:w="389"/>
        <w:gridCol w:w="389"/>
        <w:gridCol w:w="391"/>
        <w:gridCol w:w="109"/>
        <w:gridCol w:w="109"/>
        <w:gridCol w:w="109"/>
        <w:gridCol w:w="769"/>
        <w:gridCol w:w="769"/>
        <w:gridCol w:w="771"/>
        <w:gridCol w:w="109"/>
        <w:gridCol w:w="109"/>
        <w:gridCol w:w="109"/>
        <w:gridCol w:w="277"/>
        <w:gridCol w:w="277"/>
        <w:gridCol w:w="392"/>
      </w:tblGrid>
      <w:tr>
        <w:trPr/>
        <w:tc>
          <w:tcPr>
            <w:tcW w:w="67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Governance &amp;</w:t>
              <w:br/>
              <w:t>Nominating</w:t>
              <w:br/>
              <w:t>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Compensation &amp; Management</w:t>
              <w:br/>
              <w:t>Development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Audit</w:t>
              <w:br/>
              <w:t>Committee</w:t>
            </w:r>
          </w:p>
        </w:tc>
      </w:tr>
      <w:tr>
        <w:trPr/>
        <w:tc>
          <w:tcPr>
            <w:tcW w:w="185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Stuart A. Arbuckle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Good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 R. Jean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W. J. McGirr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val="false"/>
                <w:color w:val="000000"/>
                <w:sz w:val="20"/>
              </w:rPr>
              <w:t>X*</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Kimberly J. Popovits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Lynn A. Tetrault, J.D.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*Denotes chair of committee.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Audit Committee provides oversight of our accounting and financial reporting process, the audit of our financial statements and our internal control function. Among other matters, the Audit Committee is responsible for the following: assisting the Board in oversight of the independent auditors’ qualifications, independence and performance; the engagement, retention and compensation of the independent auditors; reviewing the scope of the annual audit; reviewing and discussing with management and the independent auditors the results of the annual audit and the review of our quarterly financial statements, including the disclosures in our annual and quarterly reports filed with the SEC; reviewing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1485"/>
                <wp:effectExtent l="0" t="0" r="0" b="0"/>
                <wp:wrapNone/>
                <wp:docPr id="20" name="Frame1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financial risk exposures; establishing procedures for receiving, retaining and investigating complaints received by us regarding accounting, internal accounting controls or audit matters; and approving audit and permissible non-audit services provided by our independent auditor.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current members of our Audit Committee are David W.J. McGirr, who is the chair of the Audit Committee, Jennifer Good and Christophe R. Jean. All current members of our Audit Committee meet the requirements for financial literacy under the applicable rules and regulations of the SEC and Nasdaq. Our Board has determined that Mr. McGirr is an audit committee financial expert as defined under SEC rules and has the requisite financial sophistication under applicable rules and regulations of Nasdaq as a result of, among other things, his senior-level executive experience, including his service as Chief Financial Officer of Cubist Pharmaceuticals, Inc. from November 2002 to March 2013. All of the current members of our Audit Committee are independent directors as defined under the applicable rules and regulations of the SEC and Nasdaq.</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Audit Committee met four times. The report of the Audit Committee is included in this Proxy Statement under “Audit Committee Report.”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Compensation &amp; Management Development Committee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Compensation &amp; Management Development Committee adopts and administers the compensation policies, plans and benefit programs for our executive officers and all other members of our executive team. Our Compensation &amp; Management Development Committee is also responsible for making recommendations to the full Board regarding non-employee director compensation. In addition, among other things, our Compensation &amp; Management Development Committee evaluates annually, in consultation with the Board, the performance of our chief executive officer, reviews and approves corporate goals and objectives relevant to compensation of our chief executive officer and other executives and evaluates the performance of these executives in light of those goals and objectives. Although our chief executive officer does not participate in decisions involving his own compensation, his recommendations and input, along with input from other executive officers, are often taken into consideration by the Committee when making compensation decisions.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Compensation &amp; Management Development Committee also administers our equity compensation plans, including approving, or recommending to our Board for approval, issuances of stock options and other awards under such plans. The Committee may delegate its authority under its charter to one or more subcommittees as it deems appropriate from time to time as further described in its charter. The Committee may also delegate, or recommend to our Board that it delegate, to our chief executive officer the authority to approve equity awards under our equity plans, as further described in its charter and to the extent permitted under our equity plans.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Compensation &amp; Management Development Committee also reviews and approves, on an annual basis, the selection of a peer group of companies to be used for comparison purposes in the context of executive and Board compensation determinations.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the Compensation &amp; Management Development Committee administers and oversees the Company’s compliance with the compensation recovery policy required by applicable SEC and Nasdaq rules.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Compensation &amp; Management Development Committee has the authority to retain or obtain the advice of compensation consultants, legal counsel and other advisors to assist in carrying out its responsibilities. For discussion of the role of compensation consultants in determining executive and non-employee director compensation, please refer to “Executive Compensation” and “Director Compensation” below.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Compensation &amp; Management Development Committee is also responsible for overseeing and periodically reviewing strategies, policies and practices with respect to human capital management and management development, such as: workplace environment and culture; employee engagement and effectiveness; and talent recruitment, development and retention. The Compensation &amp; Management Development Committee will also assist the Board in developing and evaluating potential candidates for executive positions and oversee the development of succession plans.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current members of our Compensation &amp; Management Development Committee are Lynn A. Tetrault, J.D., who is the chair of the Compensation &amp; Management Development Committee, Stuart Arbuckle and Kimberly J. Popovits. Camille Bedrosian, who resigned from the Board in December 2025, was formerly a member of the Compensation &amp; Management Development Committee. All members of our Compensation &amp; Management Development Committee are independent under applicable rules and regulations of the SEC and Nasdaq.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1485"/>
                <wp:effectExtent l="0" t="0" r="0" b="0"/>
                <wp:wrapNone/>
                <wp:docPr id="21" name="Frame1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40"/>
        <w:jc w:val="left"/>
        <w:rPr/>
      </w:pPr>
      <w:r>
        <w:rPr>
          <w:rFonts w:ascii="Times New Roman;serif" w:hAnsi="Times New Roman;serif"/>
          <w:b w:val="false"/>
          <w:color w:val="000000"/>
          <w:sz w:val="20"/>
        </w:rPr>
        <w:t xml:space="preserve">During the year ended December 31, 2025, the Compensation &amp; Management Development Committee met four times and interacted frequently with management and the Compensation &amp; Management Development Committee's compensation consultant and also met with stockholders as further explained in the section below entitled </w:t>
      </w:r>
      <w:r>
        <w:rPr>
          <w:color w:val="000000"/>
        </w:rPr>
        <w:t>“</w:t>
      </w:r>
      <w:r>
        <w:rPr>
          <w:rFonts w:ascii="Times New Roman;serif" w:hAnsi="Times New Roman;serif"/>
          <w:b w:val="false"/>
          <w:color w:val="000000"/>
          <w:sz w:val="20"/>
        </w:rPr>
        <w:t>Compensation Discussion &amp; Analysis</w:t>
      </w:r>
      <w:r>
        <w:rPr>
          <w:color w:val="000000"/>
        </w:rPr>
        <w:t>”</w:t>
      </w:r>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Compensation &amp; Management Development Committee Interlocks and Insider Participation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Compensation &amp; Management Development Committee currently consists of Lynn A. Tetrault, J.D., Stuart Arbuckle and Kimberly J. Popovits. During the year ended December 31, 2025, none of our executive officers (i) served as a member of the compensation committee (or other board committee performing equivalent functions or, in the absence of any such committee, the entire board of directors) of another entity, one of whose executive officers served on the Compensation &amp; Management Development Committee; (ii) served as a director of another entity, one of whose executive officers served on our Compensation &amp; Management Development Committee; or (iii) served as a member of the compensation committee (or other board committee performing equivalent functions or, in the absence of any such committee, the entire board of directors) of another entity, one of whose executive officers served as a member of our Board.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Governance &amp; Nominating Committee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Governance &amp; Nominating Committee is responsible for, among other things, making recommendations regarding corporate governance, the composition of our Board, the identification, evaluation and nomination of director candidates and the structure and composition of committees of our Board. Throughout the year and, in particular, following the resignation of Camille Bedrosian in December 2025 and prior to the appointment of Kimberly J. Popovits to the Board in April 2026 and the resignation of Edward T. Mathers in April 2026, the Governance &amp; Nominating Committee considered and evaluated potential candidates for the Board as well as potential additional or revised committee assignments.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Governance &amp; Nominating Committee oversees our corporate governance guidelines, oversees our strategy, initiatives and policies concerning corporate social responsibility, including environmental, social and governance matters, makes recommendations as to which directors satisfy applicable independence requirements, reviews and assesses the adequacy of our certificate of incorporation, bylaws and committee charters, oversees compliance with our code of business conduct and ethics, contributes to succession planning and oversees our Board self-evaluation process.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current members of our Governance &amp; Nominating Committee are Stuart A. Arbuckle, who is the chair of the Governance &amp; Nominating Committee, Christophe R. Jean, and David W.J. McGirr. Camille Bedrosian, who resigned from the Board in December 2025, and Edward T. Mathers, who resigned from the Board in April 2026, were formerly members of the Governance &amp; Nominating Committee. All of the members of our Governance &amp; Nominating Committee are independent under applicable rules and regulations of Nasdaq.</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Governance &amp; Nominating Committee met one time.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Policies Governing Director Nominations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Director Nomination Process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Board is responsible for selecting its own members. The Board delegates the selection and nomination process to the Governance &amp; Nominating Committee, with the expectation that other members of the Board and management will be requested to take part in the process as appropriate. The Governance &amp; Nominating Committee makes recommendations to the Board regarding the size and composition of the Board. The Governance &amp; Nominating Committee reviews annually with the Board the composition of the Board as a whole and recommends, if necessary, measures to be taken so that the Board reflects the appropriate balance of knowledge, experience, skills and expertise required for the Board as a whole and contains at least the minimum number of independent directors required by applicable laws and regulations. The Governance &amp; Nominating Committee is responsible for ensuring that the composition of the Board accurately reflects the needs of Rhythm’s business and, in furtherance of this goal, for proposing the resignation of members for purposes of ensuring the appropriate members and skills. The Governance &amp; Nominating Committee recommends, and the Board nominates, candidates to stand for election as directors.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Generally, our Governance &amp; Nominating Committee identifies candidates for director nominees in consultation with management, through the use of search firms or other advisors, through recommendations submitted by stockholders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1485"/>
                <wp:effectExtent l="0" t="0" r="0" b="0"/>
                <wp:wrapNone/>
                <wp:docPr id="22" name="Frame2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through such other methods as the Governance &amp; Nominating Committee deems to be helpful to identify candidates. Once candidates have been identified, our Governance &amp; Nominating Committee confirms that the candidates meet all of the minimum qualifications for director nominees established by the Governance &amp; Nominating Committee. The Governance &amp; Nominating Committee may gather information about the candidates through interviews, detailed questionnaires, background checks or any other means that the Governance &amp; Nominating Committee deems to be appropriate in the evaluation process. The Governance &amp; Nominating Committee then meets as a group to discuss and evaluate the qualifications and skills of each candidate, both on an individual basis and taking into account the overall composition and needs of the Board. Based on the results of the evaluation process, the Governance &amp; Nominating Committee recommends to the Board for approval candidates as director nominees for election to the Board.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Stockholders may also recommend potential director candidates by submitting the names of the recommended individuals, together with appropriate biographical information and background materials, to the Governance &amp; Nominating Committee, c/o Secretary, 222 Berkeley Street, 12th Floor, Boston, MA 02116. In the event there is a vacancy, and assuming that appropriate biographical and background material has been provided on a timely basis, the Governance &amp; Nominating Committee will evaluate stockholder-recommended candidates by following substantially the same process described above, and applying substantially the same criteria set forth below under “Minimum Qualifications,” as it follows for candidates submitted by others.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nominate a person to stand for election as a director, a stockholder must provide our Secretary with timely notice of the nomination and the notice must include the information required by Section 2.12(c) of our bylaws. Nominations must also comply with the requirements of Rule 14a-19 under the Exchange Act. Additional information regarding requirements for stockholder nominations of director candidates for next year’s annual meeting is described in this Proxy Statement under “General Matters-Stockholder Proposals and Nominations.”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Minimum Qualifications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Governance &amp; Nominating Committee will consider, among other things, the following qualifications, skills and attributes when recommending candidates for the Board’s selection as nominees for the Board and as candidates for appointment to the Board’s committees. The nominee shall have a high level of personal and professional integrity, strong ethics and values and the ability to make mature business judgments, and shall be most effective, in conjunction with the other members of the Board, in collectively serving the long-term interests of our stockholders. Board members should possess such attributes and experience as are necessary to provide a broad range of personal characteristics including broad experience and perspective, management skills and business experience. Directors should be able to commit the requisite time for preparation and attendance at regularly scheduled Board and committee meetings, as well as be able to participate in other matters necessary to ensure that good corporate governance is practiced.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evaluating the suitability of individual candidates (both proposed director candidates and current Board members), our Governance &amp; Nominating Committee may consider, in addition to the minimum qualifications and other criteria for board membership approved by the Board from time to time, all facts and circumstances that it deems appropriate or advisable, including, among other things, the skills of the proposed director candidate, his or her depth and breadth of professional experience or other background characteristics, his or her independence and the needs of the Board. Although we have no formal policy regarding board diversity, we consider each individual in the context of the Board as a whole, and our Governance &amp; Nominating Committee’s priority in selecting Board members is the identification of persons who will further the interests of Rhythm through an established record of professional accomplishment, the ability to contribute positively to the collaborative culture among Board members, and professional and personal experiences and expertise relevant to our growth strategy. The Governance &amp; Nominating Committee will consider candidates recommended by stockholders. See “Director Nomination Process” above.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Stockholder Engagement and Communications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Members of the Rhythm management team actively engaged with stockholders during 2025, consistent with our commitment to enabling open and ongoing dialogue with stockholders and potential investors, with meetings held both in person and via video conference. According to internal records, we engaged with representatives of more than 200 institutional stockholders or prospective investors in 2025, representing the holders of approximately 75% or more of our outstanding Common Stock as of December 31, 2025. In addition, members of our management team participated in approximately 25 financial conferences, sponsored “bus” tours, non-deal roadshows, conference calls dedicated to specific Company news topics and additional investor events. This active engagement enables us to better understand the perspectives of our stockholders. Through our active stockholder engagement, we provided regular business updates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1485"/>
                <wp:effectExtent l="0" t="0" r="0" b="0"/>
                <wp:wrapNone/>
                <wp:docPr id="23" name="Frame2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relative to global commercial efforts, clinical development, U.S. and EU regulatory strategy and milestones, and guidance on financial resources. Our robust engagement also enables feedback channels that provide a valuable way to receive ongoing input from our stockholders.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Stockholders wishing to communicate with our Board may do so by writing to the Board or to the non-employee members of the Board as a group, at: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Rhythm Pharmaceuticals,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222 Berkeley Street, 12th Floor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Boston, MA 02116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Attention: Secretary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communication must prominently display the legend “BOARD COMMUNICATION” in order to indicate to the Secretary that it is a communication for the Board. Upon receiving such a communication, the Secretary will promptly forward the communication to the relevant individual or group to which it is addressed. Certain items that are unrelated to the Board’s duties and responsibilities may be excluded, such as spam, junk mail and mass mailings, resumes and other forms of job inquiries, surveys and business solicitations or advertisements. The Secretary will not forward any communication determined in good faith belief to be frivolous, unduly hostile, threatening, illegal or similarly unsuitable.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Code of Business Conduct &amp; Ethics and Corporate Governance Guidelines</w:t>
      </w:r>
    </w:p>
    <w:p>
      <w:pPr>
        <w:pStyle w:val="TextBody"/>
        <w:bidi w:val="0"/>
        <w:spacing w:lineRule="auto" w:line="288" w:before="0" w:after="240"/>
        <w:jc w:val="left"/>
        <w:rPr/>
      </w:pPr>
      <w:r>
        <w:rPr>
          <w:rFonts w:ascii="Times New Roman;serif" w:hAnsi="Times New Roman;serif"/>
          <w:b w:val="false"/>
          <w:color w:val="000000"/>
          <w:sz w:val="20"/>
        </w:rPr>
        <w:t xml:space="preserve">We have a Code of Business Conduct &amp; Ethics (the “Code”) that applies to all of our employees, including our executive officers and those employees responsible for financial reporting, and directors. The Code is available on our website at </w:t>
      </w:r>
      <w:r>
        <w:rPr>
          <w:rFonts w:ascii="Times New Roman;serif" w:hAnsi="Times New Roman;serif"/>
          <w:b w:val="false"/>
          <w:i/>
          <w:color w:val="000000"/>
          <w:sz w:val="20"/>
        </w:rPr>
        <w:t>www.rhythmtx.com</w:t>
      </w:r>
      <w:r>
        <w:rPr>
          <w:color w:val="000000"/>
        </w:rPr>
        <w:t xml:space="preserve"> </w:t>
      </w:r>
      <w:r>
        <w:rPr>
          <w:rFonts w:ascii="Times New Roman;serif" w:hAnsi="Times New Roman;serif"/>
          <w:b w:val="false"/>
          <w:color w:val="000000"/>
          <w:sz w:val="20"/>
        </w:rPr>
        <w:t>under “Investors &amp; Media” at “Corporate Governance”; or by requesting a copy, free of charge, in writing from our Secretary at Rhythm Pharmaceuticals, Inc., 222 Berkeley Street, 12th Floor, Boston, MA 02116. We intend to satisfy the disclosure requirement under Item 5.05 of Form 8-K regarding any amendment to, or waiver under, a provision of the Code, as well as Nasdaq’s requirement to disclose waivers with respect to directors and executive officers, by posting such information on our website at the address specified above within four business days following the date of such amendment or waiver.</w:t>
      </w:r>
    </w:p>
    <w:p>
      <w:pPr>
        <w:pStyle w:val="TextBody"/>
        <w:bidi w:val="0"/>
        <w:spacing w:lineRule="auto" w:line="288" w:before="0" w:after="240"/>
        <w:jc w:val="left"/>
        <w:rPr/>
      </w:pPr>
      <w:r>
        <w:rPr>
          <w:rFonts w:ascii="Times New Roman;serif" w:hAnsi="Times New Roman;serif"/>
          <w:b w:val="false"/>
          <w:color w:val="000000"/>
          <w:sz w:val="20"/>
        </w:rPr>
        <w:t xml:space="preserve">A copy of our Corporate Governance Guidelines may also be accessed free of charge by visiting our website at </w:t>
      </w:r>
      <w:r>
        <w:rPr>
          <w:rFonts w:ascii="Times New Roman;serif" w:hAnsi="Times New Roman;serif"/>
          <w:b w:val="false"/>
          <w:i/>
          <w:color w:val="000000"/>
          <w:sz w:val="20"/>
        </w:rPr>
        <w:t>www.rhythmtx.com</w:t>
      </w:r>
      <w:r>
        <w:rPr>
          <w:color w:val="000000"/>
        </w:rPr>
        <w:t xml:space="preserve"> </w:t>
      </w:r>
      <w:r>
        <w:rPr>
          <w:rFonts w:ascii="Times New Roman;serif" w:hAnsi="Times New Roman;serif"/>
          <w:b w:val="false"/>
          <w:color w:val="000000"/>
          <w:sz w:val="20"/>
        </w:rPr>
        <w:t>under “Investors &amp; Media” at “Corporate Governance” or by requesting a copy from our Secretary at our principal executive offices above.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Global Insider Trading Policy; Anti-Hedging and Pledging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adopted a Global Insider Trading Policy governing the purchase, sale and/or other dispositions of our securities by our directors, officers, and employees. We believe that our Global Insider Trading Policy is reasonably designed to promote compliance with insider trading laws, rules and regulations, and any listing standards applicable to us. A copy of our Global Insider Trading Policy is filed as Exhibit 19.0 to our Annual Report on Form 10-K for the year ended December 31, 2024.</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our Global Insider Trading Policy, we prohibit our directors, officers and employees from engaging in any hedging or monetization transactions relating to our equity securities, including through the use of financial instruments such as prepaid variable forward contracts, equity swaps, collars and exchange funds. We also prohibit our directors, officers and employees from holding our equity securities in a margin account or otherwise pledging our equity securities as collateral for a loan.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Sustainability Overview</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Social Impact </w: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Rhythm believes that its core mission will have a significantly positive impact on society. Obesity is an epidemic affecting hundreds of millions of people worldwide, and current treatment approaches have demonstrated limited long-term success for most obese patients. Addressing early-onset obesity, even among rare disease populations, confronts one of the most pernicious aspects of one of the world’s most impactful public health problems. While we are focused on a rare subset of people with severe obesity, those who suffer from early-onset, severe obesity and hyperphagia caused by certain genetic variants or hypothalamic injury, we are focused on advancing the understanding of the biology and genetics of obesity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51485"/>
                <wp:effectExtent l="0" t="0" r="0" b="0"/>
                <wp:wrapNone/>
                <wp:docPr id="24" name="Frame2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expanding genetic testing to improve diagnosis of rare genetic diseases of obesity. These efforts include Uncovering Rare Obesity (URO) and Rare Obesity Advanced Diagnosis (ROAD), our U.S.- and Europe-based genetic testing programs, respectively. These programs raise awareness and bring access to genetic testing into the community setting. Currently available physician-ordered genetic testing panels are often cost prohibitive, while many consumer genetic tests are incomplete when it comes to genetic diseases of obesity. As of December 31, 2025, we had collected and analyzed almost 120,000 genetic samples from individuals with severe obesity with URO, ROAD and additional sources. Ensuring that patients who need IMCIVREE® can access it is fundamental to our mission. We offer a comprehensive copay assistance program for commercially insured patients, and we provide IMCIVREE® at no cost to Medicare beneficiaries and uninsured or underinsured patients who meet eligibility criteria. We believe cost should never be a barrier to a life-changing therapy.</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Rhythm participated in a number of charitable efforts either by a direct donation or through a partnership in order to enable our employees to support non-profit organizations. For example, we facilitated participation of our employees in the Wonderfund Holiday Gift Drive that provides holiday presents to children in foster care who are supported by the Massachusetts Department of Children and Family Services. In addition, we supported the Dimock Center, a community health center serving Roxbury, a lower-income community in Boston. Our Chairman and CEO, Dr. David Meeker, M.D. is an active Board member of the Biomedical Science Careers Program.</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Integrating Sustainability</w: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the context of being a mission-driven organization, we are incorporating our existing approach to environmental, social and governance (ESG) matters into our governance mechanisms. The Board has delegated to the Governance &amp; Nominating Committee oversight responsibility with respect to our strategy, initiatives and policies concerning corporate social responsibility, including ESG matters. In 2026, we published our third annual ESG report, the Rhythm Pharmaceuticals 2025 Sustainability Report. Our disclosures are guided by the World Economic Forum’s (WEF) Stakeholder Capitalism Metrics (SCM) framework, which aligns our reporting with internationally recognized, industry-agnostic ESG indicators. We encourage stockholders to review the full report for detailed information on our ESG practices.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Human Capital</w: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We believe that our future success largely depends upon our continued ability to attract and retain highly skilled employees. We emphasize a number of measures and objectives in managing our human capital assets, including, among others, employee engagement, development and training, talent acquisition and retention, employee wellness, collaboration, inclusion, and compensation and pay equity. As of April 27, 2026, we had 441 employees and active recruitment efforts to grow further. We also work with consultants and contractors to provide both specific expertise and flexibility for our business needs. For the year ended December 31, 2025, our rolling turnover rate was approximately 6%, reflecting our commitment to retaining the talent we recruit.</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Rhythm has been recognized as one of The Boston Globe’s Top Places to Work in Massachusetts for three consecutive years (2023, 2024, and 2025), a reflection of the culture our employees have built. We attribute this recognition to our commitment to a transparent, mission-aligned work environment where employees hear directly from patients and caregivers at our regular all-hands meetings. </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developing and growing an inclusive culture is critical to continuing to attract and retain the top talent necessary to deliver on our growth strategy. As such, we are investing in a work environment where our employees feel inspired and included. We have established a multi-year workplace culture learning series, with installments covering unconscious bias, interpersonal skills, and emotional intelligence.</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work to ensure our employees understand and embrace our commitment to our patient community and our focus on changing the paradigm for treatment of hyperphagia and severe obesity caused by rare melanocortin-4 receptor (MC4R) pathway diseases by hearing directly from patients and caregivers on a regular basis at our monthly all-hands meetings. We also have strong partnerships with patient advocacy organizations such as the Bardet-Biedl Foundation and the Raymond A. Wood Foundation, and we frequently engage with and gather feedback from patients and caregivers to guide our work. We are committed to fostering relationships with members of the rare disease communities we serve to create a positive impact on the lives of patients. We value our employees’ courage to ask bold questions and their commitment to learning and collaboration, as each person brings a unique contribution to furthering our mission. Grounded in these guiding principles, we believe we have developed a collaborative environment where our colleagues feel respected, valued, and can contribute to their fullest potential.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51485"/>
                <wp:effectExtent l="0" t="0" r="0" b="0"/>
                <wp:wrapNone/>
                <wp:docPr id="25" name="Frame2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committed to fair and equitable compensation practices. Our compensation structure is informed by market-driven benchmarks and data-driven analysis reviewed annually to support pay equity across roles, levels, and employee populations. We strive to provide a competitive total compensation package, including healthcare benefits, retirement savings, flexible work arrangements, and equity participation.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51485"/>
                <wp:effectExtent l="0" t="0" r="0" b="0"/>
                <wp:wrapNone/>
                <wp:docPr id="26" name="Frame2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DIRECTOR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maintain a non-employee director compensation program that is intended to provide a total compensation package that enables us to attract and retain qualified and experienced individuals to serve as directors and to align our directors’ interests with those of our stockholders. Our Compensation &amp; Management Development Committee periodically reviews the compensation of our non-employee directors and, as applicable, makes recommendations to the Board for its consideration of changes to our non-employee director compensation program. Our Compensation &amp; Management Development Committee compares the compensation of our Board to compensation paid to non-employee directors of similarly sized public companies. Our Compensation &amp; Management Development Committee also considers the responsibilities we ask of the members of our Board along with the amount of time required to perform those responsibilities.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our non-employee director compensation program, we provide our non-employee directors with cash retainers and equity awards in the form of stock options and restricted stock units (“RSUs”). We do not pay any compensation to our President and Chief Executive Officer in connection with his service on our Board. The compensation that we pay to our President and Chief Executive Officer is discussed in the “Executive Compensation” section of this Proxy Statement.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Following an analysis of director compensation levels prepared by the Compensation &amp; Management Development Committee’s compensation consultant, Pay Governance, in June 2025 the Compensation &amp; Management Development Committee recommended and the Board approved an updated director compensation program, which became effective on June 24, 2025.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annual equity awards for non-employee directors are granted on the date of the Company’s annual meeting of stockholders. For 2025, the Board equity mix was updated to improve alignment between the executive team and the non-employee directors. The mix of long-term incentive awards for the non-employee directors was changed to 50% options and 50% RSUs (from two-thirds options and one-third RSUs previously), based on the fair values of such awards. In addition, the Board elected to continue to impose a grant value cap of $600,000, for the annual equity award and $1,200,000 for any initial awards. This cap is intended to apply if the value of the fixed number of options and RSUs that is granted annually to the Board reached the upper quartile of the Company's peer group and was put into place to avoid oversized director compensation in the event of exceptional stock price performance. As a result, for 2025 annual awards to our non-employee directors, the option grant was reduced from 10,000 options to 7,037 options and the RSU grant was reduced from 6,667 RSUs to 4,712 RSUs.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our non-employee director compensation program, for 2025, each non-employee director received an annual retainer fee of $50,000 paid in arrears, in addition to other annual retainers, as applicable depending on their roles within the Board and its committees. Below is a list of all annual retainers for non-employee directors: </w:t>
      </w:r>
    </w:p>
    <w:tbl>
      <w:tblPr>
        <w:tblW w:w="8778" w:type="dxa"/>
        <w:jc w:val="center"/>
        <w:tblInd w:w="0" w:type="dxa"/>
        <w:tblLayout w:type="fixed"/>
        <w:tblCellMar>
          <w:top w:w="28" w:type="dxa"/>
          <w:left w:w="28" w:type="dxa"/>
          <w:bottom w:w="28" w:type="dxa"/>
          <w:right w:w="28" w:type="dxa"/>
        </w:tblCellMar>
      </w:tblPr>
      <w:tblGrid>
        <w:gridCol w:w="2675"/>
        <w:gridCol w:w="2339"/>
        <w:gridCol w:w="2351"/>
        <w:gridCol w:w="109"/>
        <w:gridCol w:w="109"/>
        <w:gridCol w:w="109"/>
        <w:gridCol w:w="211"/>
        <w:gridCol w:w="721"/>
        <w:gridCol w:w="154"/>
      </w:tblGrid>
      <w:tr>
        <w:trPr/>
        <w:tc>
          <w:tcPr>
            <w:tcW w:w="2675"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Non-Employee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Annual Fee</w:t>
            </w:r>
          </w:p>
        </w:tc>
      </w:tr>
      <w:tr>
        <w:trPr/>
        <w:tc>
          <w:tcPr>
            <w:tcW w:w="73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Annual Cash Retainer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Non-Executive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Chair of the Audit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Member of the Audit Committee (other than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Chair of the Compensation &amp; Management Development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Member of the Compensation &amp; Management Development Committee (other than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Chair of the Governance &amp; Nominating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Member of the Governance &amp; Nominating Committee (other than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also reimburse our non-employee directors for reasonable travel and out-of-pocket expenses incurred in connection with attending Board and committee meetings.</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Under our non-employee director compensation program, each individual initially appointed or elected to the Board as a non-employee director is eligible to receive for initial appointments or elections, an initial option award to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51485"/>
                <wp:effectExtent l="0" t="0" r="0" b="0"/>
                <wp:wrapNone/>
                <wp:docPr id="27" name="Frame2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20,000 shares of our Common Stock and an initial award of 13,334 RSUs. The awards are granted under our 2017 Equity Incentive Plan on the date he or she first becomes a non-employee director. These initial awards vest annually over a three-year period from the date of grant, subject to continued service as a non-employee director through the vesting date. Our director compensation program includes a limit on the grant date fair value of the initial equity awards granted to newly appointed non-employee directors of $1,200,000. If the grant date fair value of the initial equity award would exceed this limit, an award equal to 50% of the limit will be paid in options and an award equal to 50% will be paid in RSUs, based on the grant date fair values of such options and RSUs. During 2025, no non-employee directors were initially appointed or elected to the Board. On June 24, 2025, the date of our 2025 annual meeting of stockholders, each continuing non-employee director who served on the Board for a minimum of six months was eligible to receive an option to purchase 10,000 shares of our Common Stock and 6,667 RSUs (which amounts were reduced to 7,037 options and 4,712 RSUs as a result of the previously described value cap of $600,000); the options and RSUs will vest in full upon the earlier of the first anniversary of the date of grant or the date of our 2026 annual meeting of stockholders. The exercise price for each of the option grants is equal to the fair market value of our Common Stock on the date of grant. All outstanding equity awards held by our non-employee directors vest in full immediately prior to the occurrence of a change in control. Our director compensation program includes a limit on the grant date fair value of the annual equity awards granted to continuing non-employee directors of $600,000. If the grant date fair value of an annual equity award would otherwise exceed this limit, an award equal to 50% of the limit will be paid in options and an award equal to 50% will be paid in RSUs, based on the grant date fair values of such options and RSUs.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2025 Director Compensation Table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compensation earned by our non-employee directors during fiscal year 2025. Dr. Meeker did not receive any compensation for his service on our Board while employed as our President and Chief Executive Officer during 2025.</w:t>
      </w:r>
    </w:p>
    <w:tbl>
      <w:tblPr>
        <w:tblW w:w="8301" w:type="dxa"/>
        <w:jc w:val="center"/>
        <w:tblInd w:w="0" w:type="dxa"/>
        <w:tblLayout w:type="fixed"/>
        <w:tblCellMar>
          <w:top w:w="28" w:type="dxa"/>
          <w:left w:w="28" w:type="dxa"/>
          <w:bottom w:w="28" w:type="dxa"/>
          <w:right w:w="28" w:type="dxa"/>
        </w:tblCellMar>
      </w:tblPr>
      <w:tblGrid>
        <w:gridCol w:w="868"/>
        <w:gridCol w:w="761"/>
        <w:gridCol w:w="771"/>
        <w:gridCol w:w="109"/>
        <w:gridCol w:w="109"/>
        <w:gridCol w:w="109"/>
        <w:gridCol w:w="225"/>
        <w:gridCol w:w="769"/>
        <w:gridCol w:w="116"/>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Fees Earned </w:t>
              <w:br/>
              <w:t>or Paid</w:t>
              <w:br/>
              <w:t>in Cash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w:t>
              <w:br/>
              <w:t>Awards</w:t>
              <w:b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Option</w:t>
              <w:br/>
              <w:t>Awards</w:t>
              <w:b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w:t>
            </w:r>
          </w:p>
        </w:tc>
      </w:tr>
      <w:tr>
        <w:trPr/>
        <w:tc>
          <w:tcPr>
            <w:tcW w:w="240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Stuart Arbuckle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299,966 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300,015 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659,981 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Camille Bedrosian, M.D.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Good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659,981 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 R. Jean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659,981 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Edward T. Mathers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W. J. McGirr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674,981 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Lynn A. Tetrault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(1)Amounts represent annual cash compensation earned for services rendered by each member of the Board.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(2)Amounts reflect the full grant-date fair value of stock options and RSUs granted during 2025 computed in accordance with ASC Topic 718, rather than the amounts paid to or realized by the named individual. We provide information regarding the assumptions used to calculate the value of option and stock awards made to our directors in Note 8 to the consolidated financial statements included in our Annual Report on Form 10-K for the year ended December 31, 2025.</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(3)Dr. Bedrosian resigned from the Board effective December 16,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51485"/>
                <wp:effectExtent l="0" t="0" r="0" b="0"/>
                <wp:wrapNone/>
                <wp:docPr id="28" name="Frame2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as of December 31, 2025, the aggregate numbers of option awards (exercisable and unexercisable) and unvested stock awards held by each non-employee director at that time.</w:t>
      </w:r>
    </w:p>
    <w:tbl>
      <w:tblPr>
        <w:tblW w:w="5918" w:type="dxa"/>
        <w:jc w:val="center"/>
        <w:tblInd w:w="0" w:type="dxa"/>
        <w:tblLayout w:type="fixed"/>
        <w:tblCellMar>
          <w:top w:w="28" w:type="dxa"/>
          <w:left w:w="28" w:type="dxa"/>
          <w:bottom w:w="28" w:type="dxa"/>
          <w:right w:w="28" w:type="dxa"/>
        </w:tblCellMar>
      </w:tblPr>
      <w:tblGrid>
        <w:gridCol w:w="868"/>
        <w:gridCol w:w="761"/>
        <w:gridCol w:w="771"/>
        <w:gridCol w:w="109"/>
        <w:gridCol w:w="109"/>
        <w:gridCol w:w="109"/>
        <w:gridCol w:w="534"/>
        <w:gridCol w:w="534"/>
        <w:gridCol w:w="536"/>
        <w:gridCol w:w="109"/>
        <w:gridCol w:w="109"/>
        <w:gridCol w:w="109"/>
        <w:gridCol w:w="368"/>
        <w:gridCol w:w="368"/>
        <w:gridCol w:w="524"/>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Option Awards</w:t>
              <w:br/>
              <w:t>Outstanding at 2025</w:t>
              <w:br/>
              <w:t>Fiscal Year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Unvested Stock</w:t>
              <w:br/>
              <w:t>Awards</w:t>
              <w:br/>
              <w:t>Outstanding at</w:t>
              <w:br/>
              <w:t>2025 Fiscal</w:t>
              <w:br/>
              <w:t>Year End</w:t>
            </w:r>
          </w:p>
        </w:tc>
      </w:tr>
      <w:tr>
        <w:trPr/>
        <w:tc>
          <w:tcPr>
            <w:tcW w:w="240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Stuart Arbuckle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118,537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Camille Bedrosian, M.D.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Good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 R. Jean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Edward T. Mathers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W. J. McGirr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135,347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Lynn A. Tetrault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51485"/>
                <wp:effectExtent l="0" t="0" r="0" b="0"/>
                <wp:wrapNone/>
                <wp:docPr id="29" name="Frame2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(1)Dr. Bedrosian resigned from the Board effective December 16,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Below is a list of the names, ages as of April 27, 2026, positions, and a brief account of the business experience of the individuals who serve as our executive officers.</w:t>
      </w:r>
    </w:p>
    <w:tbl>
      <w:tblPr>
        <w:tblW w:w="8153" w:type="dxa"/>
        <w:jc w:val="left"/>
        <w:tblInd w:w="0" w:type="dxa"/>
        <w:tblLayout w:type="fixed"/>
        <w:tblCellMar>
          <w:top w:w="28" w:type="dxa"/>
          <w:left w:w="28" w:type="dxa"/>
          <w:bottom w:w="28" w:type="dxa"/>
          <w:right w:w="28" w:type="dxa"/>
        </w:tblCellMar>
      </w:tblPr>
      <w:tblGrid>
        <w:gridCol w:w="709"/>
        <w:gridCol w:w="624"/>
        <w:gridCol w:w="631"/>
        <w:gridCol w:w="109"/>
        <w:gridCol w:w="109"/>
        <w:gridCol w:w="109"/>
        <w:gridCol w:w="130"/>
        <w:gridCol w:w="130"/>
        <w:gridCol w:w="131"/>
        <w:gridCol w:w="109"/>
        <w:gridCol w:w="109"/>
        <w:gridCol w:w="109"/>
        <w:gridCol w:w="1502"/>
        <w:gridCol w:w="1502"/>
        <w:gridCol w:w="2140"/>
      </w:tblGrid>
      <w:tr>
        <w:trPr/>
        <w:tc>
          <w:tcPr>
            <w:tcW w:w="7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Position(s)</w:t>
            </w:r>
          </w:p>
        </w:tc>
      </w:tr>
      <w:tr>
        <w:trPr/>
        <w:tc>
          <w:tcPr>
            <w:tcW w:w="196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P. Meeker,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President and Chief Executive Officer</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Hunter C. Smith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Pamela Cramer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Human Resources Officer</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Joseph Shulman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Technical Officer</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Alastair Garfield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Scientific Officer</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Lee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Head of North America</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Yann Mazabraud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Head of International</w:t>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Executive Officer Biographies</w:t>
      </w:r>
    </w:p>
    <w:p>
      <w:pPr>
        <w:pStyle w:val="TextBody"/>
        <w:bidi w:val="0"/>
        <w:spacing w:lineRule="auto" w:line="288" w:before="0" w:after="240"/>
        <w:jc w:val="left"/>
        <w:rPr/>
      </w:pPr>
      <w:r>
        <w:rPr>
          <w:rFonts w:ascii="Times New Roman;serif" w:hAnsi="Times New Roman;serif"/>
          <w:b/>
          <w:i/>
          <w:color w:val="000000"/>
          <w:sz w:val="20"/>
        </w:rPr>
        <w:t xml:space="preserve">David P. Meeker, M.D. </w:t>
      </w:r>
      <w:r>
        <w:rPr>
          <w:rFonts w:ascii="Times New Roman;serif" w:hAnsi="Times New Roman;serif"/>
          <w:b w:val="false"/>
          <w:i/>
          <w:color w:val="000000"/>
          <w:sz w:val="20"/>
        </w:rPr>
        <w:t>| Chairman of the Board, President and Chief Executive Officer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Dr. Meeker’s biography is included above in the Board of Directors section of this Proxy Statement.</w:t>
      </w:r>
    </w:p>
    <w:p>
      <w:pPr>
        <w:pStyle w:val="TextBody"/>
        <w:bidi w:val="0"/>
        <w:spacing w:lineRule="auto" w:line="288" w:before="0" w:after="240"/>
        <w:jc w:val="left"/>
        <w:rPr/>
      </w:pPr>
      <w:r>
        <w:rPr>
          <w:rFonts w:ascii="Times New Roman;serif" w:hAnsi="Times New Roman;serif"/>
          <w:b/>
          <w:i/>
          <w:color w:val="000000"/>
          <w:sz w:val="20"/>
        </w:rPr>
        <w:t xml:space="preserve">Hunter C. Smith </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Chief Financial Officer and Treasurer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Mr. Smith has served as our Chief Financial Officer since July 2017 and Treasurer since August 2017. Mr. Smith also served as our Interim President and Chief Executive Officer from March 2020 to July 2020 and as our Secretary from April 2020 to March 2021. He has more than 30 years of global finance and management experience across multiple industries and financial disciplines, including expertise in business analysis and planning, mergers and acquisitions, treasury, capital raising and investor relations. Previously, he was Vice President, Finance and Chief Financial Officer of the Inflammation and Immunology Business Unit at Celgene Corporation, or Celgene, a global biopharmaceutical company, from 2013 to July 2017. Before joining Celgene, Mr. Smith worked in roles of increasing responsibility at Bunge Limited from 1999 to 2013. Mr. Smith serves on the Board of Directors of Vanqua Bio and Avidicure BV. He previously served on the boards of directors of Aeglea Biotherapeutics Inc., through its reverse merger with Spyre Therapeutics in November 2023 and Genessee &amp; Wyoming, Inc. Mr. Smith holds an M.B.A. in Finance from New York University’s Stern School of Business and a B.A. in History, with honors, from Northwestern University.</w:t>
      </w:r>
    </w:p>
    <w:p>
      <w:pPr>
        <w:pStyle w:val="TextBody"/>
        <w:bidi w:val="0"/>
        <w:spacing w:lineRule="auto" w:line="288" w:before="0" w:after="240"/>
        <w:jc w:val="left"/>
        <w:rPr/>
      </w:pPr>
      <w:r>
        <w:rPr>
          <w:rFonts w:ascii="Times New Roman;serif" w:hAnsi="Times New Roman;serif"/>
          <w:b/>
          <w:i/>
          <w:color w:val="000000"/>
          <w:sz w:val="20"/>
        </w:rPr>
        <w:t xml:space="preserve">Pamela Cramer </w:t>
      </w:r>
      <w:r>
        <w:rPr>
          <w:rFonts w:ascii="Times New Roman;serif" w:hAnsi="Times New Roman;serif"/>
          <w:b w:val="false"/>
          <w:i/>
          <w:color w:val="000000"/>
          <w:sz w:val="20"/>
        </w:rPr>
        <w:t>| Chief Human Resources Officer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Ms. Cramer has served as our Chief Human Resources Officer since July 2021. She brings over 20 years of leadership experience in organizational effectiveness, talent development and human resources transformation with globally diverse life sciences and financial services companies. She joined Rhythm from Foundation Medicine, where she most recently served as Head of People Solutions from March 2020 to June 2021, and held a variety of human resources positions since January 2018. Prior to that, Ms. Cramer held senior human resources positions at Cambridge Associates from October 2015 to 2018, and at PAREXEL International and Epsilon Data Management. Earlier in her career, Ms. Cramer served in a wide range of positions at Bank of America Merrill Lynch and General Electric, where she began her career as a graduate of the Human Resources Leadership Program. She holds an M.B.A. from Georgetown University.</w:t>
      </w:r>
    </w:p>
    <w:p>
      <w:pPr>
        <w:pStyle w:val="TextBody"/>
        <w:bidi w:val="0"/>
        <w:spacing w:lineRule="auto" w:line="288" w:before="0" w:after="240"/>
        <w:jc w:val="left"/>
        <w:rPr/>
      </w:pPr>
      <w:r>
        <w:rPr>
          <w:rFonts w:ascii="Times New Roman;serif" w:hAnsi="Times New Roman;serif"/>
          <w:b/>
          <w:i/>
          <w:color w:val="000000"/>
          <w:sz w:val="20"/>
        </w:rPr>
        <w:t xml:space="preserve">Joseph Shulman </w:t>
      </w:r>
      <w:r>
        <w:rPr>
          <w:rFonts w:ascii="Times New Roman;serif" w:hAnsi="Times New Roman;serif"/>
          <w:b w:val="false"/>
          <w:i/>
          <w:color w:val="000000"/>
          <w:sz w:val="20"/>
        </w:rPr>
        <w:t>| Chief Technical Officer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Mr. Shulman has served as our Chief Technical Officer since February 2022 and is responsible for chemistry, manufacturing, and controls (CMC), clinical and commercial supply chains, and GMP/GDP quality assurance and quality control, and program management. Prior to his current role, he served as our Senior Vice President, Technical Operations since July 2020. Prior to joining Rhythm, Mr. Shulman served as Senior Vice President of Technical Operations at Ra Pharmaceuticals, acquired by UCB in 2020, from July 2019 to July 2020. Before that, he was Senior Vice President of Global Technical Operations at Novelion Therapeutics, from September 2014 to July 2019. Earlier in his career, Mr. Shulman held roles of increasing responsibility at biotechnology companies in the areas of CMC, technical operations,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51485"/>
                <wp:effectExtent l="0" t="0" r="0" b="0"/>
                <wp:wrapNone/>
                <wp:docPr id="30" name="Frame2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program and alliance management. He holds an M.B.A. from Boston University and earned a B.S. in chemical engineering from Miami University.</w:t>
      </w:r>
    </w:p>
    <w:p>
      <w:pPr>
        <w:pStyle w:val="TextBody"/>
        <w:bidi w:val="0"/>
        <w:spacing w:lineRule="auto" w:line="288" w:before="0" w:after="240"/>
        <w:jc w:val="left"/>
        <w:rPr/>
      </w:pPr>
      <w:r>
        <w:rPr>
          <w:rFonts w:ascii="Times New Roman;serif" w:hAnsi="Times New Roman;serif"/>
          <w:b/>
          <w:i/>
          <w:color w:val="000000"/>
          <w:sz w:val="20"/>
        </w:rPr>
        <w:t>Alastair Garfield</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i/>
          <w:color w:val="000000"/>
          <w:sz w:val="20"/>
        </w:rPr>
        <w:t>Chief Scientific Officer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Dr. Garfield has served as our Chief Scientific Officer since July 2024. Prior to that, he served as Senior Vice President and Head of Translational Sciences and Strategy at Rectify Pharma from May 2021 to July 2024, where he helped deliver first-in-class therapeutics for rare disease. Prior to joining Rectify Pharma, Dr. Garfield was Senior Vice President and Head of Translational Research at Rhythm from September 2017 to May 2021. He also held roles at Pfizer, from February 2016 to April 2017, where he was a laboratory head in the Cardiovascular Metabolic Disease Research Unit and led novel obesity target identification. He has also served as an assistant professor at the University of Edinburgh, UK and visiting professor Harvard Medical School. Dr. Garfield holds an undergraduate degree and a Ph.D. in molecular genetics from the University of Bath. As an assistant professor at the University of Edinburgh, UK and visiting professor Harvard Medical School, Dr. Garfield’s independent research expanded the field’s understanding of the hypothalamic melanocrotinergic networks regulating metabolism, body weight and appetite. His research has been published in leading scientific journals including Nature, Nature Neuroscience, Neuron, and Cell Metabolism. Dr. Garfield has authored numerous original research and review articles on the MC4R pathway.</w:t>
      </w:r>
    </w:p>
    <w:p>
      <w:pPr>
        <w:pStyle w:val="TextBody"/>
        <w:bidi w:val="0"/>
        <w:spacing w:lineRule="auto" w:line="288" w:before="0" w:after="240"/>
        <w:jc w:val="left"/>
        <w:rPr/>
      </w:pPr>
      <w:r>
        <w:rPr>
          <w:rFonts w:ascii="Times New Roman;serif" w:hAnsi="Times New Roman;serif"/>
          <w:b/>
          <w:i/>
          <w:color w:val="000000"/>
          <w:sz w:val="20"/>
        </w:rPr>
        <w:t xml:space="preserve">Jennifer Lee </w:t>
      </w:r>
      <w:r>
        <w:rPr>
          <w:rFonts w:ascii="Times New Roman;serif" w:hAnsi="Times New Roman;serif"/>
          <w:b w:val="false"/>
          <w:i/>
          <w:color w:val="000000"/>
          <w:sz w:val="20"/>
        </w:rPr>
        <w:t>| Executive Vice President, Head of North America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Ms. Lee has served as our Executive Vice President, Head of North America since November 2020. Prior to joining Rhythm, Ms. Lee served as Chief Commercial Officer at Krystal Biotech, Inc., a biopharmaceutical company, from January 2020 to October 2020. From November 2014 to January 2020, Ms. Lee held a variety of roles with increasing responsibility at Sanofi Genzyme, a biotechnology company, including Vice President, Head of Genetic Diseases from January 2017 to January 2020 (where she was responsible for the U.S. commercial strategy and implementation for seven brands and launches with rare diseases) and Vice President, Global Head of Rare Nephrological Diseases from November 2014 to January 2017. Ms. Lee holds a B.S. from the Massachusetts Institute of Technology and an M.P.H. from Harvard University.</w:t>
      </w:r>
    </w:p>
    <w:p>
      <w:pPr>
        <w:pStyle w:val="TextBody"/>
        <w:bidi w:val="0"/>
        <w:spacing w:lineRule="auto" w:line="288" w:before="0" w:after="240"/>
        <w:jc w:val="left"/>
        <w:rPr/>
      </w:pPr>
      <w:r>
        <w:rPr>
          <w:rFonts w:ascii="Times New Roman;serif" w:hAnsi="Times New Roman;serif"/>
          <w:b/>
          <w:i/>
          <w:color w:val="000000"/>
          <w:sz w:val="20"/>
        </w:rPr>
        <w:t xml:space="preserve">Yann Mazabraud </w:t>
      </w:r>
      <w:r>
        <w:rPr>
          <w:rFonts w:ascii="Times New Roman;serif" w:hAnsi="Times New Roman;serif"/>
          <w:b w:val="false"/>
          <w:i/>
          <w:color w:val="000000"/>
          <w:sz w:val="20"/>
        </w:rPr>
        <w:t>| Executive Vice President, Head of International</w:t>
      </w:r>
    </w:p>
    <w:p>
      <w:pPr>
        <w:pStyle w:val="TextBody"/>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Mr. Mazabraud has served as our Executive Vice President, Head of International, since October 2020. Prior to joining Rhythm, Mr. Mazabraud served as Chief Commercial Officer and Head of International of Trevi Therapeutics, Inc., a pharmaceutical company, from November 2017 to October 2020. Prior to that, he held several leadership positions at Sanofi Genzyme, including as Senior Vice President, U.S. General Manager and North America Head, Rare Diseases from January 2016 to October 2017 and Vice President, Head of Latin America from March 2014 to December 2015. He also served as a member of the Sanofi Genzyme Executive Leadership Team. While at Genzyme and Sanofi Genzyme, he led and managed several product launches for rare genetic diseases in Europe, Latin America and the United States across multiple therapeutic areas including genetics, pediatrics, nephrology, neurology and endocrinology. Mr. Mazabraud holds a Master’s in Management from Ecole Supérieure de Commerce de La Rochelle.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51485"/>
                <wp:effectExtent l="0" t="0" r="0" b="0"/>
                <wp:wrapNone/>
                <wp:docPr id="31" name="Frame2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EXECUTIVE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Dear Fellow Stockholders: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Rhythm delivered on a transformative year of execution and achievement, expanding and strengthening our ability to advance care for patients living with rare neuroendocrine diseases. With the FDA approval on March 19, 2026 of IMCIVREE in acquired HO, a positive CHMP opinion recommending marketing authorization for acquired HO and more data readouts to follow this year, the Company is off to a strong start in 2026 and well positioned to deliver significant value for stockholders for the long term.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Among the most impactful achievements of 2025 were:</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Delivered stockholder return of 91%, with strong stock price performance, from a closing price of $55.98 on December 31, 2024 to a closing price of $107.04 on December 31, 2025. Strong stock price performance was directly aligned with the realizable pay experienced by our CEO, since the majority of CEO pay is delivered through long-term incentives tied to stock price.</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 xml:space="preserve">Grew global net product revenues approximately 50% to $194.8 million, from $130.1 million in 2024. </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 xml:space="preserve">Announced three value-driving, positive data readouts in 2025: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Phase 3 TRANSCEND trial evaluating setmelanotide in acquired hypothalamic obesity;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Phase 2 trial evaluating bivamelagon in acquired hypothalamic obesity;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Preliminary results from our exploratory Phase 2 trial of setmelanotide in Prader-Willi syndrome. </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Raised net proceeds of approximately $218 million through financing activities, including the Company’s ATM program and a follow-on offering shortly after the Phase 2 bivamelagon results.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fortunate to have an experienced and committed executive leadership team that has delivered these important milestones and more. As Rhythm continues to grow and evolve as a global commercial-stage company, it is important that our compensation programs incentivize and engage executives and employees while ensuring continued alignment with the interests of stockholders.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our 2025 annual meeting, 69.4% of our stockholders who were present or represented by proxy at the annual meeting and entitled to vote on the proposal voted to support a non-binding, advisory proposal related to the compensation of our named executive officers, a significant decrease from the 97% approval the year before. In response to the decrease in support year-over-year, we engaged in proactive stockholder outreach in the fall of 2025 to understand concerns, inform program design, enhance disclosure and ensure that our executive compensation programs support our long-term strategy and drive stockholder value. We invited feedback from 19 of our top stockholders who collectively owned approximately 68% of our outstanding common stock as of September 30, 2025. In my capacity as Chair of the Compensation &amp; Management Development Committee, I met with 15 of these institutional stockholders (including five who voted against our “say-on-pay” proposal at our 2025 annual meeting) representing more than 50% of our outstanding shares. Our discussions focused on a broad range of executive compensation and governance topics.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Several key themes emerged from these conversations. Stockholders shared that they would like to better understand the rationale for CEO and other named executive officer pay and suggested greater transparency to better illustrate the connection between executive pay and performance. More specifically, stockholders requested clearer and more detailed disclosure regarding the CEO total equity grant value, corporate and individual performance targets, and the use and purpose of performance-based equity incentives within our executive compensation framework. The Committee, along with Company management and the Committee’s independent compensation consultant, carefully considered the input received from stockholders. We have enhanced disclosure through more detailed descriptions of our programs, how they work and how they align with stockholder value creation throughout this Compensation Discussion and Analysis. Taking into account the program design and pay for performance alignment feedback, the Committee will continue to review our programs within the context of our business strategy, culture and market best practice to ensure they provide an appropriate balance to best serve the long-term interests of our stockholders, while attracting and retaining the high performing talent necessary to achieve our ambitious goals. To this end, we took a number of responsive actions, which are discussed in more detail throughout this Compensation Discussion and Analysis, with notable program changes outlined in the table entitled “What We Heard and How We Responded” below.</w:t>
      </w:r>
    </w:p>
    <w:p>
      <w:pPr>
        <w:pStyle w:val="TextBody"/>
        <w:bidi w:val="0"/>
        <w:spacing w:lineRule="auto" w:line="288" w:before="24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greatly appreciate the support and input provided by our stockholders and remain dedicated to ongoing engagement. Your feedback plays a crucial role in informing our approach to executive compensation, and we will continue to implement strategies and actions aligned with our long-term strategic vision. On behalf of the Committee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51485"/>
                <wp:effectExtent l="0" t="0" r="0" b="0"/>
                <wp:wrapNone/>
                <wp:docPr id="32" name="Frame3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the entire Board of Directors, thank you for your continued engagement and partnership as we collectively strive to achieve Rhythm’s mission to improve the lives of patients affected by rare neuroendocrine diseases.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Lynn A. Tetrault, Chair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&amp; Management Development Committee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COMPENSATION DISCUSSION AND ANALYSIS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this Compensation Discussion and Analysis (“CD&amp;A”), we provide an overview and analysis of the compensation awarded to or earned by our named executive officers identified in the Summary Compensation Table below (each, an “NEO”) during fiscal 2025, including the elements of our compensation program for NEOs, material compensation decisions made under that program for fiscal 2025 and the material factors considered in making those decisions. Our NEOs for the year ended December 31, 2025 are: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David P. Meeker, M.D., Chairman, President and Chief Executive Officer;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Hunter C. Smith, Chief Financial Officer;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Jennifer Lee, Executive Vice President, Head of North America;</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Yann Mazabraud, Executive Vice President, Head of International;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Alastair Garfield, Ph.D., Chief Scientific Officer.</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2025 Stockholder Engagement and Stockholder Feedback and Our Responses</w:t>
      </w:r>
    </w:p>
    <w:p>
      <w:pPr>
        <w:pStyle w:val="TextBody"/>
        <w:bidi w:val="0"/>
        <w:spacing w:lineRule="auto" w:line="276" w:before="0" w:after="240"/>
        <w:ind w:left="0" w:right="0" w:firstLine="720"/>
        <w:jc w:val="left"/>
        <w:rPr/>
      </w:pPr>
      <w:r>
        <w:rPr>
          <w:rFonts w:ascii="Times New Roman;serif" w:hAnsi="Times New Roman;serif"/>
          <w:b w:val="false"/>
          <w:color w:val="000000"/>
          <w:sz w:val="20"/>
        </w:rPr>
        <w:t xml:space="preserve">As described above, in light of the result of our Stockholder Advisory Vote on Executive Compensation at our 2025 annual meeting of stockholders, we engaged in proactive stockholder outreach in the fall of 2025 to understand concerns, inform program design, enhance disclosure and ensure that our executive compensation programs support our long-term strategy and drive stockholder value. We invited feedback from 19 of our top stockholders who collectively owned approximately 68% of our outstanding common stock as of September 30, 2025 and met with 15 of these institutional stockholders (including five who voted against our </w:t>
      </w:r>
      <w:r>
        <w:rPr>
          <w:color w:val="000000"/>
        </w:rPr>
        <w:t>“</w:t>
      </w:r>
      <w:r>
        <w:rPr>
          <w:rFonts w:ascii="Times New Roman;serif" w:hAnsi="Times New Roman;serif"/>
          <w:b w:val="false"/>
          <w:color w:val="000000"/>
          <w:sz w:val="20"/>
        </w:rPr>
        <w:t>say-on-pay</w:t>
      </w:r>
      <w:r>
        <w:rPr>
          <w:color w:val="000000"/>
        </w:rPr>
        <w:t xml:space="preserve">” </w:t>
      </w:r>
      <w:r>
        <w:rPr>
          <w:rFonts w:ascii="Times New Roman;serif" w:hAnsi="Times New Roman;serif"/>
          <w:b w:val="false"/>
          <w:color w:val="000000"/>
          <w:sz w:val="20"/>
        </w:rPr>
        <w:t xml:space="preserve">proposal at our 2025 annual meeting) representing more than 50% of our outstanding shares of common stock. Our discussions focused on a broad range of executive compensation and governance topics.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thank all of our stockholders who met with us to share their thoughts and feedback regarding our executive compensation programs. The table below summarizes the feedback we received and our responses. Many of the concerns articulated were related to enhancing our disclosure and providing more specific details regarding our plan designs, how performance is assessed under those designs and how compensation decisions support our pay for performance culture.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51485"/>
                <wp:effectExtent l="0" t="0" r="0" b="0"/>
                <wp:wrapNone/>
                <wp:docPr id="33" name="Frame3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961"/>
        <w:gridCol w:w="806"/>
        <w:gridCol w:w="621"/>
        <w:gridCol w:w="1800"/>
        <w:gridCol w:w="1800"/>
        <w:gridCol w:w="1782"/>
        <w:gridCol w:w="814"/>
        <w:gridCol w:w="737"/>
        <w:gridCol w:w="884"/>
      </w:tblGrid>
      <w:tr>
        <w:trPr/>
        <w:tc>
          <w:tcPr>
            <w:tcW w:w="96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top w:val="single" w:sz="8" w:space="0" w:color="000000"/>
              <w:left w:val="single" w:sz="8" w:space="0" w:color="000000"/>
              <w:bottom w:val="single" w:sz="8" w:space="0" w:color="000000"/>
            </w:tcBorders>
            <w:shd w:fill="CCCCCC"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What We Heard</w:t>
            </w:r>
          </w:p>
        </w:tc>
        <w:tc>
          <w:tcPr>
            <w:tcW w:w="5382" w:type="dxa"/>
            <w:gridSpan w:val="3"/>
            <w:tcBorders>
              <w:top w:val="single" w:sz="8" w:space="0" w:color="000000"/>
              <w:left w:val="single" w:sz="8" w:space="0" w:color="000000"/>
              <w:bottom w:val="single" w:sz="8" w:space="0" w:color="000000"/>
            </w:tcBorders>
            <w:shd w:fill="CCCCCC"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How We Responded</w:t>
            </w:r>
          </w:p>
        </w:tc>
        <w:tc>
          <w:tcPr>
            <w:tcW w:w="2435" w:type="dxa"/>
            <w:gridSpan w:val="3"/>
            <w:tcBorders>
              <w:top w:val="single" w:sz="8" w:space="0" w:color="000000"/>
              <w:left w:val="single" w:sz="8" w:space="0" w:color="000000"/>
              <w:bottom w:val="single" w:sz="8" w:space="0" w:color="000000"/>
              <w:right w:val="single" w:sz="8" w:space="0" w:color="000000"/>
            </w:tcBorders>
            <w:shd w:fill="CCCCCC" w:val="clear"/>
            <w:tcMar>
              <w:top w:w="30" w:type="dxa"/>
              <w:bottom w:w="3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Why It Matters</w:t>
            </w:r>
          </w:p>
        </w:tc>
      </w:tr>
      <w:tr>
        <w:trPr/>
        <w:tc>
          <w:tcPr>
            <w:tcW w:w="23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want more transparency on how we determine CEO pay and ensure its alignment with company performance.</w:t>
            </w:r>
          </w:p>
        </w:tc>
        <w:tc>
          <w:tcPr>
            <w:tcW w:w="53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240" w:after="240"/>
              <w:jc w:val="left"/>
              <w:rPr>
                <w:rFonts w:ascii="Times New Roman;serif" w:hAnsi="Times New Roman;serif"/>
                <w:b w:val="false"/>
                <w:color w:val="000000"/>
                <w:sz w:val="20"/>
              </w:rPr>
            </w:pPr>
            <w:r>
              <w:rPr>
                <w:rFonts w:ascii="Times New Roman;serif" w:hAnsi="Times New Roman;serif"/>
                <w:b w:val="false"/>
                <w:color w:val="000000"/>
                <w:sz w:val="20"/>
              </w:rPr>
              <w:t>Within this CD&amp;A we have enhanced disclosure regarding the determination of CEO pay and the resulting strong pay</w:t>
              <w:noBreakHyphen/>
              <w:t>for</w:t>
              <w:noBreakHyphen/>
              <w:t>performance alignment.</w:t>
            </w:r>
          </w:p>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Our three-year total stockholder returns are in the 84th percentile when compared to our executive compensation peer group. Our CEO pay for that same period is in the 79th percentile indicating clear pay for performance alignment and confirming that our executive compensation program designs are working as intended.</w:t>
            </w:r>
          </w:p>
          <w:p>
            <w:pPr>
              <w:pStyle w:val="TableContents"/>
              <w:bidi w:val="0"/>
              <w:spacing w:before="0" w:after="0"/>
              <w:jc w:val="left"/>
              <w:rPr/>
            </w:pPr>
            <w:r>
              <w:rPr/>
            </w:r>
          </w:p>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In response to stockholder feedback requesting greater emphasis on linking payouts to the strategic and financial achievements of each year, the CEO’s 2026 bonus award will be calculated based on 100% corporate achievement with no individual performance component.</w:t>
            </w:r>
          </w:p>
        </w:tc>
        <w:tc>
          <w:tcPr>
            <w:tcW w:w="24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Demonstrates alignment of CEO pay with stockholder value creation and improves transparency.</w:t>
            </w:r>
          </w:p>
        </w:tc>
      </w:tr>
      <w:tr>
        <w:trPr/>
        <w:tc>
          <w:tcPr>
            <w:tcW w:w="238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want to know what metrics are used to select Rhythm's peer group.</w:t>
            </w:r>
          </w:p>
        </w:tc>
        <w:tc>
          <w:tcPr>
            <w:tcW w:w="538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our investors understand that peer group selection for a biopharmaceutical company like Rhythm is unique compared to other industries.</w:t>
            </w:r>
          </w:p>
          <w:p>
            <w:pPr>
              <w:pStyle w:val="TableContents"/>
              <w:bidi w:val="0"/>
              <w:spacing w:before="0" w:after="0"/>
              <w:jc w:val="left"/>
              <w:rPr/>
            </w:pPr>
            <w:r>
              <w:rPr/>
            </w:r>
          </w:p>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Most high-growth biopharmaceutical companies, in addition to considering stage (clinical or commercial) and scope (domestic or global), utilize market capitalization as one of the primary determinants for peer group selection, as market capitalization appropriately reflects the market’s expectations for and value ascribed to the Company's pipeline.</w:t>
            </w:r>
          </w:p>
          <w:p>
            <w:pPr>
              <w:pStyle w:val="TableContents"/>
              <w:bidi w:val="0"/>
              <w:spacing w:before="0" w:after="0"/>
              <w:jc w:val="left"/>
              <w:rPr/>
            </w:pPr>
            <w:r>
              <w:rPr/>
            </w:r>
          </w:p>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At the time the peer group used for 2025 compensation decisions was approved in September 2024, Rhythm’s market capitalization of $2.9B was closely aligned with the peer median of $2.6B supporting comparisons with similarly sized, high growth biopharmaceutical companies.</w:t>
            </w:r>
          </w:p>
        </w:tc>
        <w:tc>
          <w:tcPr>
            <w:tcW w:w="24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24" w:before="0" w:after="283"/>
              <w:jc w:val="left"/>
              <w:rPr>
                <w:rFonts w:ascii="Times New Roman;serif" w:hAnsi="Times New Roman;serif"/>
                <w:b w:val="false"/>
                <w:color w:val="000000"/>
                <w:sz w:val="20"/>
              </w:rPr>
            </w:pPr>
            <w:r>
              <w:rPr>
                <w:rFonts w:ascii="Times New Roman;serif" w:hAnsi="Times New Roman;serif"/>
                <w:b w:val="false"/>
                <w:color w:val="000000"/>
                <w:sz w:val="20"/>
              </w:rPr>
              <w:t>Ensures compensation decisions reflect an appropriate competitive set of biopharma companies for comparability.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51485"/>
                <wp:effectExtent l="0" t="0" r="0" b="0"/>
                <wp:wrapNone/>
                <wp:docPr id="34" name="Frame3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429"/>
        <w:gridCol w:w="859"/>
        <w:gridCol w:w="671"/>
        <w:gridCol w:w="1894"/>
        <w:gridCol w:w="1581"/>
        <w:gridCol w:w="1453"/>
        <w:gridCol w:w="711"/>
        <w:gridCol w:w="711"/>
        <w:gridCol w:w="896"/>
      </w:tblGrid>
      <w:tr>
        <w:trPr/>
        <w:tc>
          <w:tcPr>
            <w:tcW w:w="142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2959" w:type="dxa"/>
            <w:gridSpan w:val="3"/>
            <w:tcBorders>
              <w:top w:val="single" w:sz="8" w:space="0" w:color="000000"/>
              <w:left w:val="single" w:sz="8" w:space="0" w:color="000000"/>
            </w:tcBorders>
            <w:shd w:fill="CCCCCC"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What We Heard</w:t>
            </w:r>
          </w:p>
        </w:tc>
        <w:tc>
          <w:tcPr>
            <w:tcW w:w="4928" w:type="dxa"/>
            <w:gridSpan w:val="3"/>
            <w:tcBorders>
              <w:top w:val="single" w:sz="8" w:space="0" w:color="000000"/>
              <w:left w:val="single" w:sz="8" w:space="0" w:color="000000"/>
            </w:tcBorders>
            <w:shd w:fill="CCCCCC"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How We Responded</w:t>
            </w:r>
          </w:p>
        </w:tc>
        <w:tc>
          <w:tcPr>
            <w:tcW w:w="2318" w:type="dxa"/>
            <w:gridSpan w:val="3"/>
            <w:tcBorders>
              <w:top w:val="single" w:sz="8" w:space="0" w:color="000000"/>
              <w:left w:val="single" w:sz="8" w:space="0" w:color="000000"/>
              <w:right w:val="single" w:sz="8" w:space="0" w:color="000000"/>
            </w:tcBorders>
            <w:shd w:fill="CCCCCC" w:val="clear"/>
            <w:tcMar>
              <w:top w:w="30" w:type="dxa"/>
              <w:bottom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Why It Matters</w:t>
            </w:r>
          </w:p>
        </w:tc>
      </w:tr>
      <w:tr>
        <w:trPr/>
        <w:tc>
          <w:tcPr>
            <w:tcW w:w="2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would like more detailed disclosures on the annual bonus plan goals and calculation of bonus payments thereunder.</w:t>
            </w:r>
          </w:p>
        </w:tc>
        <w:tc>
          <w:tcPr>
            <w:tcW w:w="49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left"/>
              <w:rPr/>
            </w:pPr>
            <w:r>
              <w:rPr>
                <w:rFonts w:ascii="Times New Roman;serif" w:hAnsi="Times New Roman;serif"/>
                <w:b w:val="false"/>
                <w:color w:val="000000"/>
                <w:sz w:val="20"/>
              </w:rPr>
              <w:t>We have provided enhanced disclosure of the 2025 Corporate Objectives Scorecard and how Company performance was assessed against the objectives.</w:t>
              <w:br/>
            </w:r>
            <w:r>
              <w:rPr>
                <w:rFonts w:ascii="Times New Roman;serif" w:hAnsi="Times New Roman;serif"/>
                <w:b w:val="false"/>
                <w:sz w:val="20"/>
              </w:rPr>
              <w:br/>
            </w:r>
            <w:r>
              <w:rPr>
                <w:rFonts w:ascii="Times New Roman;serif" w:hAnsi="Times New Roman;serif"/>
                <w:b w:val="false"/>
                <w:color w:val="000000"/>
                <w:sz w:val="20"/>
              </w:rPr>
              <w:t>Rhythm had a strong 2025, which was reflected in the Board approving a 120% corporate achievement factor for the bonus plan for 2025.</w:t>
              <w:br/>
            </w:r>
            <w:r>
              <w:rPr>
                <w:rFonts w:ascii="Times New Roman;serif" w:hAnsi="Times New Roman;serif"/>
                <w:b w:val="false"/>
                <w:sz w:val="20"/>
              </w:rPr>
              <w:br/>
            </w:r>
            <w:r>
              <w:rPr>
                <w:rFonts w:ascii="Times New Roman;serif" w:hAnsi="Times New Roman;serif"/>
                <w:b w:val="false"/>
                <w:color w:val="000000"/>
                <w:sz w:val="20"/>
              </w:rPr>
              <w:t>The 2025 annual bonus plan was tied to corporate objectives that reflect a balance of financial, pipeline, and other key operational metrics that support Rhythm’s sustained growth and drive progress toward long-term strategic achievements.</w:t>
              <w:br/>
            </w:r>
            <w:r>
              <w:rPr>
                <w:rFonts w:ascii="Times New Roman;serif" w:hAnsi="Times New Roman;serif"/>
                <w:b w:val="false"/>
                <w:sz w:val="20"/>
              </w:rPr>
              <w:br/>
            </w:r>
            <w:r>
              <w:rPr>
                <w:rFonts w:ascii="Times New Roman;serif" w:hAnsi="Times New Roman;serif"/>
                <w:b w:val="false"/>
                <w:color w:val="000000"/>
                <w:sz w:val="20"/>
              </w:rPr>
              <w:t>In response to stockholder feedback, we have provided details as to how our 2025 annual bonus awards were determined in the CD&amp;A table below entitled “2025 Rhythm Pharmaceuticals Corporate Objectives Scorecard”.</w:t>
            </w:r>
          </w:p>
        </w:tc>
        <w:tc>
          <w:tcPr>
            <w:tcW w:w="23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Helps investors understand how annual performance outcomes are assessed and align with company achievements.</w:t>
            </w:r>
          </w:p>
        </w:tc>
      </w:tr>
      <w:tr>
        <w:trPr/>
        <w:tc>
          <w:tcPr>
            <w:tcW w:w="29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would like to see a greater emphasis on performance-based long-term incentives as part of the overall executive compensation package.</w:t>
            </w:r>
          </w:p>
        </w:tc>
        <w:tc>
          <w:tcPr>
            <w:tcW w:w="492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2" w:before="0" w:after="283"/>
              <w:jc w:val="left"/>
              <w:rPr/>
            </w:pPr>
            <w:r>
              <w:rPr>
                <w:rFonts w:ascii="Times New Roman;serif" w:hAnsi="Times New Roman;serif"/>
                <w:b w:val="false"/>
                <w:color w:val="000000"/>
                <w:sz w:val="20"/>
              </w:rPr>
              <w:t>Our CEO and other executive officers are eligible for long-term incentives that reflect a mix of 50% stock options and 50% restricted stock units ("RSUs"), based on the fair value of such awards. We consider stock options to be performance-based, in that value is only realized if there is growth in the Company’s stock price following the grant.</w:t>
              <w:br/>
            </w:r>
            <w:r>
              <w:rPr>
                <w:rFonts w:ascii="Times New Roman;serif" w:hAnsi="Times New Roman;serif"/>
                <w:b w:val="false"/>
                <w:sz w:val="20"/>
              </w:rPr>
              <w:br/>
            </w:r>
            <w:r>
              <w:rPr>
                <w:rFonts w:ascii="Times New Roman;serif" w:hAnsi="Times New Roman;serif"/>
                <w:b w:val="false"/>
                <w:color w:val="000000"/>
                <w:sz w:val="20"/>
              </w:rPr>
              <w:t>We believe that our program is highly aligned with our pay for performance philosophy as our executives cannot realize any actual compensation from their stock options unless the share price increases, providing a strong incentive link to stockholder value creation.</w:t>
              <w:br/>
            </w:r>
            <w:r>
              <w:rPr>
                <w:rFonts w:ascii="Times New Roman;serif" w:hAnsi="Times New Roman;serif"/>
                <w:b w:val="false"/>
                <w:sz w:val="20"/>
              </w:rPr>
              <w:br/>
            </w:r>
            <w:r>
              <w:rPr>
                <w:rFonts w:ascii="Times New Roman;serif" w:hAnsi="Times New Roman;serif"/>
                <w:b w:val="false"/>
                <w:color w:val="000000"/>
                <w:sz w:val="20"/>
              </w:rPr>
              <w:t>Further, we have heard stockholder requests for the introduction of performance-based awards to our executive long-term incentive grant program. The Compensation &amp; Management Development Committee will take this feedback under advisement and consider the integration of such awards into future program design.</w:t>
            </w:r>
          </w:p>
        </w:tc>
        <w:tc>
          <w:tcPr>
            <w:tcW w:w="231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Supports long</w:t>
              <w:noBreakHyphen/>
              <w:t>term stockholder alignment and ensures balanced incentive design.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51485"/>
                <wp:effectExtent l="0" t="0" r="0" b="0"/>
                <wp:wrapNone/>
                <wp:docPr id="35" name="Frame3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105"/>
        <w:gridCol w:w="932"/>
        <w:gridCol w:w="746"/>
        <w:gridCol w:w="1806"/>
        <w:gridCol w:w="1664"/>
        <w:gridCol w:w="1590"/>
        <w:gridCol w:w="743"/>
        <w:gridCol w:w="743"/>
        <w:gridCol w:w="876"/>
      </w:tblGrid>
      <w:tr>
        <w:trPr/>
        <w:tc>
          <w:tcPr>
            <w:tcW w:w="110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2783" w:type="dxa"/>
            <w:gridSpan w:val="3"/>
            <w:tcBorders>
              <w:top w:val="single" w:sz="8" w:space="0" w:color="000000"/>
              <w:left w:val="single" w:sz="8" w:space="0" w:color="000000"/>
            </w:tcBorders>
            <w:shd w:fill="CCCCCC"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What We Heard</w:t>
            </w:r>
          </w:p>
        </w:tc>
        <w:tc>
          <w:tcPr>
            <w:tcW w:w="5060" w:type="dxa"/>
            <w:gridSpan w:val="3"/>
            <w:tcBorders>
              <w:top w:val="single" w:sz="8" w:space="0" w:color="000000"/>
              <w:left w:val="single" w:sz="8" w:space="0" w:color="000000"/>
            </w:tcBorders>
            <w:shd w:fill="CCCCCC"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How We Responded</w:t>
            </w:r>
          </w:p>
        </w:tc>
        <w:tc>
          <w:tcPr>
            <w:tcW w:w="2362" w:type="dxa"/>
            <w:gridSpan w:val="3"/>
            <w:tcBorders>
              <w:top w:val="single" w:sz="8" w:space="0" w:color="000000"/>
              <w:left w:val="single" w:sz="8" w:space="0" w:color="000000"/>
              <w:right w:val="single" w:sz="8" w:space="0" w:color="000000"/>
            </w:tcBorders>
            <w:shd w:fill="CCCCCC" w:val="clear"/>
            <w:tcMar>
              <w:top w:w="30" w:type="dxa"/>
              <w:bottom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Why It Matters</w:t>
            </w:r>
          </w:p>
        </w:tc>
      </w:tr>
      <w:tr>
        <w:trPr/>
        <w:tc>
          <w:tcPr>
            <w:tcW w:w="27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requested more details on the special PSU grants with a 2024-2026 performance period.</w:t>
            </w:r>
          </w:p>
        </w:tc>
        <w:tc>
          <w:tcPr>
            <w:tcW w:w="50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left"/>
              <w:rPr/>
            </w:pPr>
            <w:r>
              <w:rPr>
                <w:rFonts w:ascii="Times New Roman;serif" w:hAnsi="Times New Roman;serif"/>
                <w:b w:val="false"/>
                <w:color w:val="000000"/>
                <w:sz w:val="20"/>
              </w:rPr>
              <w:t>In 2024, the Compensation &amp; Management Development Committee approved special 3- year performance stock unit (“PSU”) grants in order to drive executive focus and performance at a critical inflection point in Rhythm’s growth trajectory.</w:t>
              <w:br/>
            </w:r>
            <w:r>
              <w:rPr>
                <w:rFonts w:ascii="Times New Roman;serif" w:hAnsi="Times New Roman;serif"/>
                <w:b w:val="false"/>
                <w:sz w:val="20"/>
              </w:rPr>
              <w:br/>
            </w:r>
            <w:r>
              <w:rPr>
                <w:rFonts w:ascii="Times New Roman;serif" w:hAnsi="Times New Roman;serif"/>
                <w:b w:val="false"/>
                <w:color w:val="000000"/>
                <w:sz w:val="20"/>
              </w:rPr>
              <w:t>The PSU grants were intended as a special incentive grant and were not intended to be incorporated into the executive annual long-term grant mix which consists of 50% stock options and 50% RSUs.</w:t>
              <w:br/>
            </w:r>
            <w:r>
              <w:rPr>
                <w:rFonts w:ascii="Times New Roman;serif" w:hAnsi="Times New Roman;serif"/>
                <w:b w:val="false"/>
                <w:sz w:val="20"/>
              </w:rPr>
              <w:br/>
            </w:r>
            <w:r>
              <w:rPr>
                <w:rFonts w:ascii="Times New Roman;serif" w:hAnsi="Times New Roman;serif"/>
                <w:b w:val="false"/>
                <w:color w:val="000000"/>
                <w:sz w:val="20"/>
              </w:rPr>
              <w:t>While the investors we met with were generally supportive of the rationale we provided for the special PSU grants, they requested more disclosure for such grants and future grants of PSUs.</w:t>
              <w:br/>
            </w:r>
            <w:r>
              <w:rPr>
                <w:rFonts w:ascii="Times New Roman;serif" w:hAnsi="Times New Roman;serif"/>
                <w:b w:val="false"/>
                <w:sz w:val="20"/>
              </w:rPr>
              <w:br/>
            </w:r>
            <w:r>
              <w:rPr>
                <w:rFonts w:ascii="Times New Roman;serif" w:hAnsi="Times New Roman;serif"/>
                <w:b w:val="false"/>
                <w:color w:val="000000"/>
                <w:sz w:val="20"/>
              </w:rPr>
              <w:t>In response to stockholder feedback, we have provided enhanced details as to the rationale behind the special PSU grants and the metrics selected in the CD&amp;A section below entitled “2024-2026 Special PSU Grants and Determination of Performance.”</w:t>
            </w:r>
          </w:p>
        </w:tc>
        <w:tc>
          <w:tcPr>
            <w:tcW w:w="2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transparency regarding the purpose of the special PSU grants and respond to stockholder disclosure expectations.</w:t>
            </w:r>
          </w:p>
        </w:tc>
      </w:tr>
      <w:tr>
        <w:trPr/>
        <w:tc>
          <w:tcPr>
            <w:tcW w:w="278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questioned whether the classified board structure remains appropriate for Rhythm. They also would like more transparency regarding succession planning.</w:t>
            </w:r>
          </w:p>
        </w:tc>
        <w:tc>
          <w:tcPr>
            <w:tcW w:w="50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2" w:before="0" w:after="283"/>
              <w:jc w:val="left"/>
              <w:rPr/>
            </w:pPr>
            <w:r>
              <w:rPr>
                <w:rFonts w:ascii="Times New Roman;serif" w:hAnsi="Times New Roman;serif"/>
                <w:b w:val="false"/>
                <w:color w:val="000000"/>
                <w:sz w:val="20"/>
              </w:rPr>
              <w:t>Some stockholders expressed concern regarding our corporate governance structure, in particular sunsetting our classified board structure. Considering the longer-term time horizons for the successful execution of the Company’s strategy, we have determined that a classified board remains appropriate at this time to ensure the necessary continuity and stability of leadership.</w:t>
              <w:br/>
            </w:r>
            <w:r>
              <w:rPr>
                <w:rFonts w:ascii="Times New Roman;serif" w:hAnsi="Times New Roman;serif"/>
                <w:b w:val="false"/>
                <w:sz w:val="20"/>
              </w:rPr>
              <w:br/>
            </w:r>
            <w:r>
              <w:rPr>
                <w:rFonts w:ascii="Times New Roman;serif" w:hAnsi="Times New Roman;serif"/>
                <w:b w:val="false"/>
                <w:color w:val="000000"/>
                <w:sz w:val="20"/>
              </w:rPr>
              <w:t>Stockholders also requested greater transparency regarding succession planning. Succession planning for the CEO and executive officers is a key priority for the Compensation &amp; Management Development Committee and the Board of Directors and is discussed regularly.</w:t>
              <w:br/>
            </w:r>
            <w:r>
              <w:rPr>
                <w:rFonts w:ascii="Times New Roman;serif" w:hAnsi="Times New Roman;serif"/>
                <w:b w:val="false"/>
                <w:sz w:val="20"/>
              </w:rPr>
              <w:br/>
            </w:r>
            <w:r>
              <w:rPr>
                <w:rFonts w:ascii="Times New Roman;serif" w:hAnsi="Times New Roman;serif"/>
                <w:b w:val="false"/>
                <w:color w:val="000000"/>
                <w:sz w:val="20"/>
              </w:rPr>
              <w:t>We are committed to ongoing consideration of these and other governance topics.</w:t>
            </w:r>
          </w:p>
        </w:tc>
        <w:tc>
          <w:tcPr>
            <w:tcW w:w="236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Ensures governance supports long</w:t>
              <w:noBreakHyphen/>
              <w:t>term strategy and oversight continuity.</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our 2021 annual meeting of stockholders, our stockholders voted in a non-binding, advisory vote in favor of having a non-binding stockholder vote on executive compensation once every year. Consistent with the stated preference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of a majority of our stockholders, our next advisory vote on our NEOs’ compensation will be held at this 2026 annual meeting, pursuant to Proposal No. 3.</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Select 2025 Performance Highlights and Pay for Performance</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executive compensation programs are designed to deliver pay in accordance with corporate and individual performance, rewarding superior performance and providing consequences for underperformance. We believe that the compensation of our NEOs for fiscal year 2025 was aligned with the Company’s performance during 2025. As briefly described above by our Compensation &amp; Management Development Committee Chair, highlights of that performance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51485"/>
                <wp:effectExtent l="0" t="0" r="0" b="0"/>
                <wp:wrapNone/>
                <wp:docPr id="36" name="Frame3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Global net product revenues relating to global sales of IMCIVREE grew during 2025, with consistent steady growth quarter-over-quarter during the year. Year over year, net product revenue increased by approximately 50% from 2024 to 2025 with $194.8 million in net product revenue for 2025. By the end of the year, IMCIVREE had become commercially available to patients for either Bardet-Biedl syndrome (BBS) or pro-opiomelanocortin (POMC) or leptin receptor (LEPR) deficiency obesity in more than 25 different countries. Setmelanotide also is available for patients with hypothalamic obesity in Italy and France through reimbursed early access programs.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Rhythm achieved three clinical development milestones during 2025: </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Acquired Hypothalamic Obesity</w:t>
      </w:r>
      <w:r>
        <w:rPr>
          <w:rFonts w:ascii="Times New Roman;serif" w:hAnsi="Times New Roman;serif"/>
          <w:b w:val="false"/>
          <w:color w:val="000000"/>
          <w:sz w:val="20"/>
        </w:rPr>
        <w:t xml:space="preserve">: On April 7, 2025, the Company announced positive data from its Phase 3 TRANSCEND trial evaluating setmelanotide in acquired hypothalamic obesity, the largest randomized, placebo-controlled trial in acquired hypothalamic obesity to date. Setmelanotide achieved -19.8% placebo-adjusted difference in BMI reduction (N=120).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On March 19, 2026, the Company announced that the U.S. Food and Drug Administration (FDA) approved an expanded indication for IMCIVREE to treat patients living with acquired HO, making IMCIVREE the first and only FDA-approved therapy for the treatment of this rare disease characterized by accelerated and sustained weight gain caused by hypothalamic injury.</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Bivamelagon in HO</w:t>
      </w:r>
      <w:r>
        <w:rPr>
          <w:rFonts w:ascii="Times New Roman;serif" w:hAnsi="Times New Roman;serif"/>
          <w:b w:val="false"/>
          <w:color w:val="000000"/>
          <w:sz w:val="20"/>
        </w:rPr>
        <w:t xml:space="preserve">: On July 9, 2025, the Company announced that the daily oral bivamelagon, a next-generation MC4R agonist, achieved statistically significant and clinically meaningful reductions in BMI at 14 weeks of treatment in its Phase 2 trial in patients with acquired hypothalamic obesity. Bivamelagon achieved a -9.3% BMI reduction from baseline in the 600mg cohort (n=8) (p-value=0.0004) and -7.7% BMI reduction from baseline in the 400mg cohort (n=7) (p-value=0.0002). Post-hoc analyses showed bivamelagon demonstrated BMI reductions consistent with BMI reductions achieved with setmelanotide therapy as observed in similar patient populations at comparable dosing durations. The Company aims to initiate a pivotal Phase 3 trial to evaluate bivamelagon in HO by the end of 2026. </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Prader-Willi Syndrome</w:t>
      </w:r>
      <w:r>
        <w:rPr>
          <w:rFonts w:ascii="Times New Roman;serif" w:hAnsi="Times New Roman;serif"/>
          <w:b w:val="false"/>
          <w:color w:val="000000"/>
          <w:sz w:val="20"/>
        </w:rPr>
        <w:t xml:space="preserve">: In 2025, the Company demonstrated a positive efficacy signal with setmelanotide in Prader-Willi syndrome (PWS). In December, the Company announced positive preliminary results from our exploratory Phase 2 trial of setmelanotide in patients with PWS and announced plans to advance setmelanotide into a Phase 3 registrational trial in PWS, pending successful completion of this Phase 2 trial. The Company also initiated a Part D arm in the Phase 1/2 trial of MC4R agonist RM-718 that will enroll up to 20 patients with PWS.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corporate highlights from 2025 include: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Company also conducted financing activities, including through the Company’s ATM program and a successful follow-on offering shortly after the Phase 2 bivamelagon results, providing total additional net cash in 2025 of $218 million. Following these financing activities, we expect that our existing cash and cash equivalents and short-term investments will be sufficient to fund our operations for at least 24 months from February 26, 2026, the date we filed our Annual Report on Form 10-K.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are expanding the reach of Rhythm across many fronts - the number of addressable patients, indications, geographies, pipeline assets and employees – and we fully recognize that having the talent, experience and expertise is crucial to do so. With a disciplined, sustainable, and resilient approach, we are working to execute on a global strategy built on translational research and clinical development expertise, global regulatory capabilities, and proven commercial and market access successes. As of February 1, 2026, we had 414 employees – including 126 employees in 11 countries outside of North America, and we believe our employees are committed to learning from and collaborating with each other, each contributing to our mission. In 2025, the number of employees increased by 43% and we are proud to have achieved a rolling turnover rate that declined to 8%. We believe we are recruiting and onboarding high quality talent in a competitive biotech environment, and our employees are choosing to stay and grow at Rhythm. We have been named to The Boston Globe’s Top Places to Work in Massachusetts list for three consecutive years, in 2023, 2024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51485"/>
                <wp:effectExtent l="0" t="0" r="0" b="0"/>
                <wp:wrapNone/>
                <wp:docPr id="37" name="Frame3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2025 Compensation Highlights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Consistent with our compensation philosophy, key compensation decisions for 2025 included the following: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Base Salaries and Target Annual Cash Incentive Opportunities.</w:t>
      </w:r>
      <w:r>
        <w:rPr>
          <w:color w:val="000000"/>
        </w:rPr>
        <w:t> </w:t>
      </w:r>
      <w:r>
        <w:rPr>
          <w:rFonts w:ascii="Times New Roman;serif" w:hAnsi="Times New Roman;serif"/>
          <w:b w:val="false"/>
          <w:color w:val="000000"/>
          <w:sz w:val="20"/>
        </w:rPr>
        <w:t>For 2025, our Compensation &amp; Management Development Committee reviewed base salaries and target annual cash incentive opportunities during our annual compensation process and made adjustments with respect to base salaries to align them with the 50th percentile among the Company's peer groups, based on the market analysis of our independent compensation consultant, as further described below, while taking into account individual positions, duties, responsibilities, performance, and experience. Any decision to increase base salaries for our NEOs was made to remain market competitive.</w:t>
      </w:r>
    </w:p>
    <w:p>
      <w:pPr>
        <w:pStyle w:val="TextBody"/>
        <w:bidi w:val="0"/>
        <w:spacing w:lineRule="auto" w:line="268" w:before="0" w:after="240"/>
        <w:ind w:left="0" w:right="0" w:hanging="360"/>
        <w:jc w:val="left"/>
        <w:rPr/>
      </w:pPr>
      <w:r>
        <w:rPr>
          <w:color w:val="000000"/>
        </w:rPr>
        <w:t>•</w:t>
      </w:r>
      <w:r>
        <w:rPr>
          <w:rFonts w:ascii="Times New Roman;serif" w:hAnsi="Times New Roman;serif"/>
          <w:b w:val="false"/>
          <w:i/>
          <w:color w:val="000000"/>
          <w:sz w:val="20"/>
        </w:rPr>
        <w:t>Annual Cash Incentive Payouts.</w:t>
      </w:r>
      <w:r>
        <w:rPr>
          <w:color w:val="000000"/>
        </w:rPr>
        <w:t> </w:t>
      </w:r>
      <w:r>
        <w:rPr>
          <w:rFonts w:ascii="Times New Roman;serif" w:hAnsi="Times New Roman;serif"/>
          <w:b w:val="false"/>
          <w:color w:val="000000"/>
          <w:sz w:val="20"/>
        </w:rPr>
        <w:t>At the beginning of 2025, our Compensation &amp; Management Development Committee approved performance goals for our 2025 performance-based annual bonus program that were aligned with our business plan and reflected a focus on our short-term goals, the achievement of which would enhance stockholder value. In line with our employee annual bonus program, these corporate performance goals represented 70% of each NEO’s annual bonus target, with 30% representing individual achievement. Our corporate performance goals are tied to rigorous metrics related to revenue and commercial growth and the development of our product candidates. In light of our achievement of our corporate goals, the Compensation &amp; Management Development Committee determined to pay out 2025 annual bonuses for all employees, including NEOs, at 120% of target for the corporate performance component. A detailed description of the 2025 annual performance goals and outcomes is provided below.</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Equity-Based Long Term Incentives.</w:t>
      </w:r>
      <w:r>
        <w:rPr>
          <w:color w:val="000000"/>
        </w:rPr>
        <w:t> </w:t>
      </w:r>
      <w:r>
        <w:rPr>
          <w:rFonts w:ascii="Times New Roman;serif" w:hAnsi="Times New Roman;serif"/>
          <w:b w:val="false"/>
          <w:color w:val="000000"/>
          <w:sz w:val="20"/>
        </w:rPr>
        <w:t xml:space="preserve">In 2025, we granted approximately 86% of our NEOs’ target direct compensation as equity-based compensation in the form of stock options and RSUs. We believe that these equity incentive awards effectively align the interests of our executives with those of our stockholders by directly linking compensation to the value of our Common Stock.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Pay at Risk.</w:t>
      </w:r>
      <w:r>
        <w:rPr>
          <w:color w:val="000000"/>
        </w:rPr>
        <w:t> </w:t>
      </w:r>
      <w:r>
        <w:rPr>
          <w:rFonts w:ascii="Times New Roman;serif" w:hAnsi="Times New Roman;serif"/>
          <w:b w:val="false"/>
          <w:color w:val="000000"/>
          <w:sz w:val="20"/>
        </w:rPr>
        <w:t xml:space="preserve">Rhythm believes that under our pay for performance philosophy, a significant portion of our NEOs’ compensation should be delivered in the form of equity awards and annual cash incentives, including awards that are contingent on Company performance relative to our key performance metrics. For fiscal year 2025, approximately 91% of the total target compensation opportunity for our NEOs (defined as the sum of target short-term cash incentives and the grant date fair value of long-term equity incentives) was “at risk” compensation. We consider pay to be “at risk” if it is subject to performance conditions or has a value dependent upon the price per share of our Common Stock.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CEO Pay.</w:t>
      </w:r>
      <w:r>
        <w:rPr>
          <w:color w:val="000000"/>
        </w:rPr>
        <w:t> </w:t>
      </w:r>
      <w:r>
        <w:rPr>
          <w:rFonts w:ascii="Times New Roman;serif" w:hAnsi="Times New Roman;serif"/>
          <w:b w:val="false"/>
          <w:color w:val="000000"/>
          <w:sz w:val="20"/>
        </w:rPr>
        <w:t>In 2025 and in 2026, Rhythm awarded 95% of the CEO's pay in the form of long-term incentives providing direct alignment with stockholder best interests. Rhythm’s 1-year TSR is 91% and the 3-year TSR is 268% which is in the top quartile of peer group performance. See the realizable pay chart below, which illustrates the degree to which the CEO's pay and performance are aligned relative to our industry peers. In addition, for 2026, 100% of our CEO's annual bonus is tied to corporate performance objectives.</w:t>
      </w:r>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51485"/>
                <wp:effectExtent l="0" t="0" r="0" b="0"/>
                <wp:wrapNone/>
                <wp:docPr id="38" name="Frame3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drawing>
          <wp:inline distT="0" distB="0" distL="0" distR="0">
            <wp:extent cx="6286500" cy="4429125"/>
            <wp:effectExtent l="0" t="0" r="0" b="0"/>
            <wp:docPr id="3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 descr=""/>
                    <pic:cNvPicPr>
                      <a:picLocks noChangeAspect="1" noChangeArrowheads="1"/>
                    </pic:cNvPicPr>
                  </pic:nvPicPr>
                  <pic:blipFill>
                    <a:blip r:embed="rId4"/>
                    <a:stretch>
                      <a:fillRect/>
                    </a:stretch>
                  </pic:blipFill>
                  <pic:spPr bwMode="auto">
                    <a:xfrm>
                      <a:off x="0" y="0"/>
                      <a:ext cx="6286500" cy="4429125"/>
                    </a:xfrm>
                    <a:prstGeom prst="rect">
                      <a:avLst/>
                    </a:prstGeom>
                  </pic:spPr>
                </pic:pic>
              </a:graphicData>
            </a:graphic>
          </wp:inline>
        </w:drawing>
      </w:r>
      <w:bookmarkStart w:id="2" w:name="i-3"/>
      <w:bookmarkEnd w:id="2"/>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Rhythm's 2023-2025 CEO realizable pay was positioned at the 84th percentile of the Company's peer group, while TSR was positioned at the 79th percentile, demonstrating strong pay and performance alignment</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Realizable pay consists of base salary, annual incentive plan payouts, and the value of long-term incentives based on the December 31, 2025 stock price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Excludes peers that were acquired before December 31, 2025 (Blueprint Medicines, Intra-cellular Therapies, and Springworks Therapeutics)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51485"/>
                <wp:effectExtent l="0" t="0" r="0" b="0"/>
                <wp:wrapNone/>
                <wp:docPr id="40" name="Frame3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Compensation Governance and Best Practices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committed to having strong governance standards with respect to our compensation programs, procedures and practices. Our key compensation practices include the following:</w:t>
      </w:r>
    </w:p>
    <w:tbl>
      <w:tblPr>
        <w:tblW w:w="10205" w:type="dxa"/>
        <w:jc w:val="left"/>
        <w:tblInd w:w="0" w:type="dxa"/>
        <w:tblLayout w:type="fixed"/>
        <w:tblCellMar>
          <w:top w:w="28" w:type="dxa"/>
          <w:left w:w="28" w:type="dxa"/>
          <w:bottom w:w="28" w:type="dxa"/>
          <w:right w:w="28" w:type="dxa"/>
        </w:tblCellMar>
      </w:tblPr>
      <w:tblGrid>
        <w:gridCol w:w="126"/>
        <w:gridCol w:w="111"/>
        <w:gridCol w:w="111"/>
        <w:gridCol w:w="111"/>
        <w:gridCol w:w="111"/>
        <w:gridCol w:w="111"/>
        <w:gridCol w:w="1800"/>
        <w:gridCol w:w="1729"/>
        <w:gridCol w:w="1733"/>
        <w:gridCol w:w="109"/>
        <w:gridCol w:w="109"/>
        <w:gridCol w:w="109"/>
        <w:gridCol w:w="124"/>
        <w:gridCol w:w="124"/>
        <w:gridCol w:w="124"/>
        <w:gridCol w:w="124"/>
        <w:gridCol w:w="124"/>
        <w:gridCol w:w="124"/>
        <w:gridCol w:w="1083"/>
        <w:gridCol w:w="869"/>
        <w:gridCol w:w="1239"/>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594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What We Do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What We Do Not Do </w:t>
            </w:r>
          </w:p>
        </w:tc>
      </w:tr>
      <w:tr>
        <w:trPr/>
        <w:tc>
          <w:tcPr>
            <w:tcW w:w="34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Emphasize performance-based, at-risk compensation.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Do not grant guaranteed salary, bonus or equity compensation. </w:t>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Emphasize the use of equity compensation to promote executive alignment with stockholders and reward long-term value creation.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Do not provide excessive perquisites. </w:t>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 the overall pay mix towards incentive compensation for senior executives.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Do not provide any tax gross-ups for change-in-control payments. </w:t>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Engage an independent compensation consultant to advise our Compensation &amp; Management Development Committee.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Do not reprice stock option awards issued under our 2017 Equity Incentive Plan without stockholder approval. </w:t>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Engage with stockholders to understand views on executive compensation and respond to concerns.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Do not provide supplemental executive retirement plans.</w:t>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Maintain a NASDAQ-compliant clawback policy.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Do not provide excessive severance payments. </w:t>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Maintain an insider trading policy, including anti-hedging and anti-pledging provisions.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Maintain an independent Compensation &amp; Management Development Committee.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Set challenging corporate performance goals and provide our stockholders with detailed disclosure around our goal setting process and achievement. Maintain an industry-specific and size-appropriate compensation peer group.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Maintain an industry-specific and size-appropriate compensation peer group.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Conduct annual compensation risk assessment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Utilize an annual incentive plan with pre-set corporate goals and capped payouts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an annual say-on-pay vote frequency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a stock ownership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Executive Compensation Objectives and Philosophy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key objective of our executive compensation program is to attract, motivate, and reward leaders who create an inclusive and collaborative environment and have the skills and experience necessary to successfully execute on our strategic plan to maximize stockholder value. Our executive compensation program is designed to: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Attract and retain talented and experienced executives in a competitive and dynamic market;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Motivate our NEOs to help our company achieve the best possible financial and operational results by aligning executive pay with performance;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Provide reward opportunities consistent with our performance on both a short-term and long-term basis;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Align the long-term interests of our NEOs with those of our stockholders.</w:t>
      </w:r>
    </w:p>
    <w:p>
      <w:pPr>
        <w:pStyle w:val="TextBody"/>
        <w:bidi w:val="0"/>
        <w:spacing w:lineRule="auto" w:line="288" w:before="0" w:after="240"/>
        <w:jc w:val="left"/>
        <w:rPr/>
      </w:pPr>
      <w:r>
        <w:rPr>
          <w:rFonts w:ascii="Times New Roman;serif" w:hAnsi="Times New Roman;serif"/>
          <w:b w:val="false"/>
          <w:color w:val="000000"/>
          <w:sz w:val="20"/>
        </w:rPr>
        <w:t xml:space="preserve">We strive to set our overall total compensation at a competitive level. Executives may be compensated above or below the targeted market position based on factors such as experience, performance, scope of position and the competitive demand for proven executive talent, as described further below under </w:t>
      </w:r>
      <w:r>
        <w:rPr>
          <w:color w:val="000000"/>
        </w:rPr>
        <w:t>“</w:t>
      </w:r>
      <w:r>
        <w:rPr>
          <w:rFonts w:ascii="Times New Roman;serif" w:hAnsi="Times New Roman;serif"/>
          <w:b w:val="false"/>
          <w:i/>
          <w:color w:val="000000"/>
          <w:sz w:val="20"/>
        </w:rPr>
        <w:t>Determination of Executive Compensation”</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51485"/>
                <wp:effectExtent l="0" t="0" r="0" b="0"/>
                <wp:wrapNone/>
                <wp:docPr id="41" name="Frame3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Determination of Executive Compensation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Role of Board of Directors, Compensation &amp; Management Development Committee and Executive Officers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Compensation &amp; Management Development Committee is responsible for establishing and overseeing our executive compensation programs and annually reviews and determines the compensation to be provided to our NEOs, other than with respect to our Chief Executive Officer, whose compensation is determined by the Board based on recommendations made by the Compensation &amp; Management Development Committee.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setting executive compensation, the Compensation &amp; Management Development Committee considers a number of factors, including the recommendations of our Chief Executive Officer (other than with respect to the Chief Executive Officer’s own compensation), current and past total compensation, competitive market data and analysis provided by the Compensation &amp; Management Development Committee’s independent compensation consultant, Company performance and each executive’s impact on performance, relative scope of responsibility and potential, individual performance and demonstrated leadership, and internal equity pay considerations. Our Chief Executive Officer’s recommendations are based on his evaluation of each executive’s individual performance and contributions. Our Board makes decisions regarding our Chief Executive Officer’s compensation, following recommendation from the Compensation &amp; Management Development Committee which is informed by market data provided by our independent compensation consultant as well as the Committee’s assessment of the Company and CEO overall performance.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Role of Compensation Consultant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design a competitive executive compensation program that will continue to attract top executive talent and reflect our compensation philosophy, our Compensation &amp; Management Development Committee retains an independent compensation consultant to provide executive compensation advisory services, help evaluate our compensation philosophy and objectives and provide guidance in designing and administering our executive compensation program.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2025, the Compensation &amp; Management Development Committee continued to engage Pay Governance LLC (“Pay Governance”) as its executive compensation advisor. The Compensation &amp; Management Development Committee has evaluated the independence of Pay Governance pursuant to the requirements of Nasdaq and SEC rules and has determined that Pay Governance does not have any conflicts of interest in advising the Compensation &amp; Management Development Committee. Pay Governance, as an independent executive advisory firm, did not provide any other services to the Company in 2025 for which the amount of fees exceeded $120,000.</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Peer Group</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September 2024, we reviewed and updated our peer group to ensure it remained aligned with our company size and stage of development. At that time, Pay Governance proposed a group of peer companies based on the following parameters: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Operates in the biopharmaceutical industry and, to the degree possible, having a rare disease focus;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Comparable in terms of clinical and/or commercial stage of development, importance of pipeline to overall value, headcount, and revenue;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Comparable in terms of market capitalization (as noted above, at the time the peer group used for 2025 compensation decisions was approved in September 2024, Rhythm’s market capitalization of $2.9B was closely aligned with the peer median of $2.6B, supporting comparisons with similarly sized, high growth biopharma companies).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investors understand peer group selection for a biopharmaceutical company like Rhythm is unique compared to other industries, as stockholders put a premium on the long-term value of our pipeline as well as near-term financial performance. Most high-growth biopharmaceutical companies use market capitalization as one of the primary determinants for peer group selection as it appropriately reflects the market’s expectations for and value ascribed to the Company's pipeline. This holds true for Rhythm as the value of our pipeline is reflected in the Company’s market capitalization, which best represents the total value that our team is delivering for stockholders and for patients. In addition, as a high growth commercial company, market capitalization is a leading indicator of Rhythm’s potential future stockholder value creation. Accordingly, market capitalization is appropriately weighted more heavily than revenue when comparing ourselves to other biopharmaceutical companies of similar size and stage for purposes of executive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51485"/>
                <wp:effectExtent l="0" t="0" r="0" b="0"/>
                <wp:wrapNone/>
                <wp:docPr id="42" name="Frame3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compensation comparisons. Based on the above criteria and considerations, the following peer group was approved by our Compensation &amp; Management Development Committee, which peer group was used to make 2025 compensation decisions.</w:t>
      </w:r>
    </w:p>
    <w:tbl>
      <w:tblPr>
        <w:tblW w:w="10205" w:type="dxa"/>
        <w:jc w:val="left"/>
        <w:tblInd w:w="0" w:type="dxa"/>
        <w:tblLayout w:type="fixed"/>
        <w:tblCellMar>
          <w:top w:w="28" w:type="dxa"/>
          <w:left w:w="28" w:type="dxa"/>
          <w:bottom w:w="28" w:type="dxa"/>
          <w:right w:w="28" w:type="dxa"/>
        </w:tblCellMar>
      </w:tblPr>
      <w:tblGrid>
        <w:gridCol w:w="879"/>
        <w:gridCol w:w="773"/>
        <w:gridCol w:w="774"/>
        <w:gridCol w:w="938"/>
        <w:gridCol w:w="938"/>
        <w:gridCol w:w="941"/>
        <w:gridCol w:w="793"/>
        <w:gridCol w:w="793"/>
        <w:gridCol w:w="795"/>
        <w:gridCol w:w="753"/>
        <w:gridCol w:w="753"/>
        <w:gridCol w:w="1075"/>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2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Agios Pharmaceuticals</w:t>
            </w:r>
          </w:p>
        </w:tc>
        <w:tc>
          <w:tcPr>
            <w:tcW w:w="2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Amicus Therapeutics</w:t>
            </w:r>
          </w:p>
        </w:tc>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Apellis Pharmaceuticals</w:t>
            </w:r>
          </w:p>
        </w:tc>
        <w:tc>
          <w:tcPr>
            <w:tcW w:w="2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Ardelyx</w:t>
            </w:r>
          </w:p>
        </w:tc>
      </w:tr>
      <w:tr>
        <w:trPr/>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BioCryst Pharmaceuticals</w:t>
            </w:r>
          </w:p>
        </w:tc>
        <w:tc>
          <w:tcPr>
            <w:tcW w:w="2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Blueprint Medicines Corporation</w:t>
            </w:r>
          </w:p>
        </w:tc>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BridgeBio Pharma, Inc.</w:t>
            </w:r>
          </w:p>
        </w:tc>
        <w:tc>
          <w:tcPr>
            <w:tcW w:w="2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Catalyst Pharmaceuticals, Inc.</w:t>
            </w:r>
          </w:p>
        </w:tc>
      </w:tr>
      <w:tr>
        <w:trPr/>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Insmed Incorporated</w:t>
            </w:r>
          </w:p>
        </w:tc>
        <w:tc>
          <w:tcPr>
            <w:tcW w:w="2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Intra-Cellular Therapies</w:t>
            </w:r>
          </w:p>
        </w:tc>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Ironwood Pharmaceuticals</w:t>
            </w:r>
          </w:p>
        </w:tc>
        <w:tc>
          <w:tcPr>
            <w:tcW w:w="2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Krystal Biotech, Inc.</w:t>
            </w:r>
          </w:p>
        </w:tc>
      </w:tr>
      <w:tr>
        <w:trPr/>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Mirum Pharmaceuticals, Inc.</w:t>
            </w:r>
          </w:p>
        </w:tc>
        <w:tc>
          <w:tcPr>
            <w:tcW w:w="2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Ocular Therapeutix</w:t>
            </w:r>
          </w:p>
        </w:tc>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PTC Therapeutics, Inc.</w:t>
            </w:r>
          </w:p>
        </w:tc>
        <w:tc>
          <w:tcPr>
            <w:tcW w:w="2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SpringWorks Therapeutics</w:t>
            </w:r>
          </w:p>
        </w:tc>
      </w:tr>
      <w:tr>
        <w:trPr/>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TG Therapeutics</w:t>
            </w:r>
          </w:p>
        </w:tc>
        <w:tc>
          <w:tcPr>
            <w:tcW w:w="2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Travere Therapeutics</w:t>
            </w:r>
          </w:p>
        </w:tc>
        <w:tc>
          <w:tcPr>
            <w:tcW w:w="23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Ultragenyx Pharmaceuticals</w:t>
            </w:r>
          </w:p>
        </w:tc>
        <w:tc>
          <w:tcPr>
            <w:tcW w:w="2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Vericel Corporation</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2025, the Compensation &amp; Management Development Committee used Pay Governance’s analysis to help structure a competitive executive compensation program, position executive compensation by considering market data, and make individual compensation decisions based on comparable positions at companies with which we compete for talent. While the Compensation &amp; Management Development Committee does not establish compensation levels solely based on a review of competitive data, such data is a useful tool in its deliberations as our compensation policies and practices must be competitive in the marketplace for us to be able to attract, motivate and retain qualified executive officers.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Elements of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primary elements of our NEOs’ compensation and the main objectives of each are: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Base Salary.</w:t>
      </w:r>
      <w:r>
        <w:rPr>
          <w:color w:val="000000"/>
        </w:rPr>
        <w:t> </w:t>
      </w:r>
      <w:r>
        <w:rPr>
          <w:rFonts w:ascii="Times New Roman;serif" w:hAnsi="Times New Roman;serif"/>
          <w:b w:val="false"/>
          <w:color w:val="000000"/>
          <w:sz w:val="20"/>
        </w:rPr>
        <w:t>Base salary attracts and retains talented executives, recognizes individual positions, duties, responsibilities, performance and experience, and provides stable income;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Annual Performance-Based Incentive Compensation.</w:t>
      </w:r>
      <w:r>
        <w:rPr>
          <w:color w:val="000000"/>
        </w:rPr>
        <w:t> </w:t>
      </w:r>
      <w:r>
        <w:rPr>
          <w:rFonts w:ascii="Times New Roman;serif" w:hAnsi="Times New Roman;serif"/>
          <w:b w:val="false"/>
          <w:color w:val="000000"/>
          <w:sz w:val="20"/>
        </w:rPr>
        <w:t>Annual performance bonuses promote short-term performance objectives and reward executives for their contributions toward achieving those objectives (and for 2026, 100% of our CEO's annual bonus is tied to the achievement of corporate performance objectives);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Equity Based Long-Term Incentive Compensation.</w:t>
      </w:r>
      <w:r>
        <w:rPr>
          <w:color w:val="000000"/>
        </w:rPr>
        <w:t> </w:t>
      </w:r>
      <w:r>
        <w:rPr>
          <w:rFonts w:ascii="Times New Roman;serif" w:hAnsi="Times New Roman;serif"/>
          <w:b w:val="false"/>
          <w:color w:val="000000"/>
          <w:sz w:val="20"/>
        </w:rPr>
        <w:t>Equity compensation, provided in the form of stock options and RSUs aligns executives’ interests with our stockholders’ interests, emphasizes long-term financial and operational performance, and helps retain executive talent.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executives are eligible to participate in our health and welfare programs and our 401(k) plan (or local equivalent) on the same basis as our other employees. We also maintain severance and change in control arrangements, which aid in attracting and retaining executive talent and help executives to remain focused and dedicated during potential transition periods due to a change in control. Each of these elements of compensation for 2025 is described further below. In addition, in January 2026, Rhythm implemented a non-qualified deferred compensation plan for executives in order to attract and retain key employees.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Base Salary</w:t>
      </w:r>
    </w:p>
    <w:p>
      <w:pPr>
        <w:pStyle w:val="TextBody"/>
        <w:bidi w:val="0"/>
        <w:spacing w:lineRule="auto" w:line="288" w:before="0" w:after="240"/>
        <w:jc w:val="left"/>
        <w:rPr/>
      </w:pPr>
      <w:r>
        <w:rPr>
          <w:rFonts w:ascii="Times New Roman;serif" w:hAnsi="Times New Roman;serif"/>
          <w:b w:val="false"/>
          <w:color w:val="000000"/>
          <w:sz w:val="20"/>
        </w:rPr>
        <w:t>The base salaries of our NEOs are an important part of their total compensation package, and are intended to reflect their respective positions, duties, performance, experience and responsibilities. Base salary is a visible and stable fixed component of our compensation program. Base salaries provide our NEOs with a reasonable degree of financial certainty and stability. Our Compensation &amp; Management Development Committee, and with respect to our Chief Executive Officer, the Board, annually reviews and determines the base salaries of our executives and evaluates the base salaries of new hires at the time of hire. In February 2025, our Compensation &amp; Management Development Committee, and with respect to our Chief Executive Officer, the Board, approved base salary increases for the NEOs to be effective as of February 24, 2025 for our US-based NEOs and March 1, 2025 for Mr. Mazabraud to align with payroll calendars. Such increases were intended to position our NEOs’ base salaries closer to the market median of our peer group companies, as well as to reflect additional considerations set forth above under “</w:t>
      </w:r>
      <w:r>
        <w:rPr>
          <w:rFonts w:ascii="Times New Roman;serif" w:hAnsi="Times New Roman;serif"/>
          <w:b w:val="false"/>
          <w:i/>
          <w:color w:val="000000"/>
          <w:sz w:val="20"/>
        </w:rPr>
        <w:t>Determination of Executive Compensation</w:t>
      </w:r>
      <w:r>
        <w:rPr>
          <w:rFonts w:ascii="Times New Roman;serif" w:hAnsi="Times New Roman;serif"/>
          <w:b w:val="false"/>
          <w:color w:val="000000"/>
          <w:sz w:val="20"/>
        </w:rPr>
        <w:t>.” Following such determinations, our NEO’s base salaries, which were within +/- 5% of the market median for their roles based on peer group analysis, were approved as set forth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51485"/>
                <wp:effectExtent l="0" t="0" r="0" b="0"/>
                <wp:wrapNone/>
                <wp:docPr id="43" name="Frame4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tbl>
      <w:tblPr>
        <w:tblW w:w="3460" w:type="dxa"/>
        <w:jc w:val="left"/>
        <w:tblInd w:w="0" w:type="dxa"/>
        <w:tblLayout w:type="fixed"/>
        <w:tblCellMar>
          <w:top w:w="28" w:type="dxa"/>
          <w:left w:w="28" w:type="dxa"/>
          <w:bottom w:w="28" w:type="dxa"/>
          <w:right w:w="28" w:type="dxa"/>
        </w:tblCellMar>
      </w:tblPr>
      <w:tblGrid>
        <w:gridCol w:w="629"/>
        <w:gridCol w:w="551"/>
        <w:gridCol w:w="560"/>
        <w:gridCol w:w="109"/>
        <w:gridCol w:w="109"/>
        <w:gridCol w:w="109"/>
        <w:gridCol w:w="413"/>
        <w:gridCol w:w="413"/>
        <w:gridCol w:w="567"/>
      </w:tblGrid>
      <w:tr>
        <w:trPr/>
        <w:tc>
          <w:tcPr>
            <w:tcW w:w="62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 Annualized</w:t>
              <w:br/>
              <w:t>Base Salary</w:t>
              <w:br/>
              <w:t>($)(1)</w:t>
            </w:r>
          </w:p>
        </w:tc>
      </w:tr>
      <w:tr>
        <w:trPr/>
        <w:tc>
          <w:tcPr>
            <w:tcW w:w="174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P. Meeker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785,000 </w:t>
            </w:r>
          </w:p>
        </w:tc>
        <w:tc>
          <w:tcPr>
            <w:tcW w:w="56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Hunter C. Smith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524,200 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Lee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516,500 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Yann Mazabraud(1)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561,688 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Alastair Garfield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495,000 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(1)Mr. Mazabraud’s salary of 477,500 Euros converted to USD at an exchange rate of 1.17631 as of December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Incentive Compensation</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consider annual cash incentive bonuses to be an important component of our total compensation program that provides incentives necessary to retain executive officers and drive company performance in alignment with short and long-term strategic goals. Each NEO is eligible to receive an annual performance-based cash bonus based on a specified target annual bonus award amount expressed as a percentage of the NEO’s base salary. Target annual bonus percentages are assessed annually and aligned with market median for similar roles within Rhythm's peer group. Actual bonuses are calculated by multiplying the target bonus amounts by a weighted achievement score determined by the Compensation &amp; Management Development Committee and the Board based on overall achievement of the annual corporate goals and each named executive officer’s achievement of his or her individual goals. In 2025, achievement of the corporate goals accounted for 70% of the overall target achievement score, and achievement of each named executive officer’s individual goals accounted for 30% of the overall target achievement score. Beginning in 2026, achievement of the corporate goals accounts for 100% of the CEO’s overall target achievement score. At the beginning of each year, the Compensation &amp; Management Development Committee and the Board review and approve the annual corporate goals. There is no minimum bonus percentage or amount established for the named executive officers and, as a result, the actual bonus amounts vary from year to year based on corporate and individual performance.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2025 annual bonus program, the corporate goals were designed to measure our commercial growth and the development of our product candidates, including the progression and enrollment of our clinical programs, announcement of clinical trial results, achievement of product candidate development and regulatory milestones, expansion of genetic disease and patient identification programs, and progression of our commercial capabilities through establishment of infrastructure and facilities. The individual goals were designed to measure each officer’s individual contribution to the corporate goals and his or her leadership performance.</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year, the Compensation &amp; Management Development Committee and the Board also consider achievements that go beyond the corporate objectives explicitly identified prior to the start of the year, in order to recognize opportunistic achievements that drive our business forward and which may not have been anticipated when the Corporate Objectives Scorecard was developed and approved the prior year. For example, the Board recognized that for 2025, Rhythm delivered outsized stockholder returns of 91% based on the change in stock price over the course of 2025; completed successful financing initiatives to provide Rhythm with a cash runway that we believe will be sufficient to fund our operations for at least 24 months from February 26, 2026, the date we filed our Annual Report on Form 10-K; added a Part D arm to our RM-718 trial for patients with Prader Willi syndrome; completed important technical operations improvements and initiatives to ensure clinical and commercial drug supply to support our rapid growth and expanded our operations globally, including the addition of an operational affiliate in Japan and significant growth in headcount in anticipation of the launch of IMCIVREE for patients with acquired HO. Actual achievement of the 2025 corporate goals was 99.7% and the Board, on recommendation of the Compensation &amp; Management Development Committee, unanimously approved awarding a performance payout of 120% for the corporate achievement component of the bonus plan due to the previously described significant, value-creating achievements beyond those specifically enumerated at the beginning of 2025. As our business is growing and scaling rapidly and management identifies additional strategic opportunities as they arise, the Board determined that it was appropriate to take into account and reward actual achievements looking back at the year as a whole and not solely those items identified at the beginning of the year.</w:t>
      </w:r>
    </w:p>
    <w:p>
      <w:pPr>
        <w:pStyle w:val="TextBody"/>
        <w:bidi w:val="0"/>
        <w:spacing w:lineRule="auto" w:line="288" w:before="0" w:after="3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2025, the corporate performance goals as well as their relative weightings and levels of actual achievement are set out in the table below. Each goal allowed for payouts exceeding 100% of target, contingent on achieving enhanced or accelerated milestones. Maximum opportunities are listed in the chart below by category. The maximum payout opportunity for the 2025 corporate bonus program was capped at 148%.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51485"/>
                <wp:effectExtent l="0" t="0" r="0" b="0"/>
                <wp:wrapNone/>
                <wp:docPr id="44" name="Frame4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55"/>
        <w:gridCol w:w="1934"/>
        <w:gridCol w:w="1907"/>
        <w:gridCol w:w="311"/>
        <w:gridCol w:w="297"/>
        <w:gridCol w:w="523"/>
        <w:gridCol w:w="311"/>
        <w:gridCol w:w="311"/>
        <w:gridCol w:w="663"/>
        <w:gridCol w:w="311"/>
        <w:gridCol w:w="311"/>
        <w:gridCol w:w="771"/>
      </w:tblGrid>
      <w:tr>
        <w:trPr/>
        <w:tc>
          <w:tcPr>
            <w:tcW w:w="2555"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5C5C5C"/>
              <w:left w:val="single" w:sz="8" w:space="0" w:color="5C5C5C"/>
              <w:right w:val="single" w:sz="8" w:space="0" w:color="5C5C5C"/>
            </w:tcBorders>
            <w:shd w:fill="98DAFC" w:val="clear"/>
            <w:tcMar>
              <w:top w:w="30" w:type="dxa"/>
              <w:bottom w:w="0" w:type="dxa"/>
            </w:tcMar>
            <w:vAlign w:val="center"/>
          </w:tcPr>
          <w:p>
            <w:pPr>
              <w:pStyle w:val="TableContents"/>
              <w:bidi w:val="0"/>
              <w:spacing w:before="120" w:after="12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 Rhythm Pharmaceuticals Corporate Objectives Scorecard</w:t>
            </w:r>
          </w:p>
        </w:tc>
      </w:tr>
      <w:tr>
        <w:trPr/>
        <w:tc>
          <w:tcPr>
            <w:tcW w:w="6396" w:type="dxa"/>
            <w:gridSpan w:val="3"/>
            <w:tcBorders>
              <w:top w:val="single" w:sz="8" w:space="0" w:color="5C5C5C"/>
              <w:left w:val="single" w:sz="8" w:space="0" w:color="5C5C5C"/>
            </w:tcBorders>
            <w:shd w:fill="FFFFFF" w:val="clear"/>
            <w:tcMar>
              <w:top w:w="3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Objective Category</w:t>
            </w:r>
          </w:p>
        </w:tc>
        <w:tc>
          <w:tcPr>
            <w:tcW w:w="1131" w:type="dxa"/>
            <w:gridSpan w:val="3"/>
            <w:tcBorders>
              <w:top w:val="single" w:sz="8" w:space="0" w:color="5C5C5C"/>
              <w:left w:val="single" w:sz="8" w:space="0" w:color="5C5C5C"/>
              <w:bottom w:val="single" w:sz="8" w:space="0" w:color="5C5C5C"/>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Category</w:t>
              <w:br/>
              <w:t>Weight</w:t>
            </w:r>
          </w:p>
        </w:tc>
        <w:tc>
          <w:tcPr>
            <w:tcW w:w="1285" w:type="dxa"/>
            <w:gridSpan w:val="3"/>
            <w:tcBorders>
              <w:top w:val="single" w:sz="8" w:space="0" w:color="5C5C5C"/>
              <w:left w:val="single" w:sz="8" w:space="0" w:color="5C5C5C"/>
              <w:bottom w:val="single" w:sz="8" w:space="0" w:color="5C5C5C"/>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br/>
              <w:t>Opportunity</w:t>
            </w:r>
          </w:p>
        </w:tc>
        <w:tc>
          <w:tcPr>
            <w:tcW w:w="1393" w:type="dxa"/>
            <w:gridSpan w:val="3"/>
            <w:tcBorders>
              <w:top w:val="single" w:sz="8" w:space="0" w:color="5C5C5C"/>
              <w:left w:val="single" w:sz="8" w:space="0" w:color="5C5C5C"/>
              <w:bottom w:val="single" w:sz="8" w:space="0" w:color="5C5C5C"/>
              <w:right w:val="single" w:sz="8" w:space="0" w:color="5C5C5C"/>
            </w:tcBorders>
            <w:shd w:fill="FFFFFF"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Achievement</w:t>
            </w:r>
          </w:p>
        </w:tc>
      </w:tr>
      <w:tr>
        <w:trPr/>
        <w:tc>
          <w:tcPr>
            <w:tcW w:w="10205" w:type="dxa"/>
            <w:gridSpan w:val="12"/>
            <w:tcBorders>
              <w:top w:val="single" w:sz="8" w:space="0" w:color="5C5C5C"/>
              <w:left w:val="single" w:sz="8" w:space="0" w:color="5C5C5C"/>
              <w:right w:val="single" w:sz="8" w:space="0" w:color="5C5C5C"/>
            </w:tcBorders>
            <w:shd w:fill="F2F2F2" w:val="clear"/>
            <w:tcMar>
              <w:top w:w="30" w:type="dxa"/>
              <w:bottom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Global</w:t>
            </w:r>
          </w:p>
        </w:tc>
      </w:tr>
      <w:tr>
        <w:trPr/>
        <w:tc>
          <w:tcPr>
            <w:tcW w:w="6396" w:type="dxa"/>
            <w:gridSpan w:val="3"/>
            <w:tcBorders>
              <w:top w:val="single" w:sz="8" w:space="0" w:color="5C5C5C"/>
              <w:left w:val="single" w:sz="8" w:space="0" w:color="5C5C5C"/>
            </w:tcBorders>
            <w:shd w:fill="FFFFFF" w:val="clear"/>
            <w:tcMar>
              <w:top w:w="3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Net Revenue - Target of $185M </w:t>
              <w:br/>
              <w:t>Actual achieved - $191M at constant currency</w:t>
            </w:r>
          </w:p>
        </w:tc>
        <w:tc>
          <w:tcPr>
            <w:tcW w:w="608" w:type="dxa"/>
            <w:gridSpan w:val="2"/>
            <w:tcBorders>
              <w:top w:val="single" w:sz="8" w:space="0" w:color="5C5C5C"/>
              <w:left w:val="single" w:sz="8" w:space="0" w:color="5C5C5C"/>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523" w:type="dxa"/>
            <w:tcBorders>
              <w:top w:val="single" w:sz="8" w:space="0" w:color="5C5C5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5C5C5C"/>
              <w:left w:val="single" w:sz="8" w:space="0" w:color="5C5C5C"/>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663" w:type="dxa"/>
            <w:tcBorders>
              <w:top w:val="single" w:sz="8" w:space="0" w:color="5C5C5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5C5C5C"/>
              <w:left w:val="single" w:sz="8" w:space="0" w:color="5C5C5C"/>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771" w:type="dxa"/>
            <w:tcBorders>
              <w:top w:val="single" w:sz="8" w:space="0" w:color="5C5C5C"/>
              <w:right w:val="single" w:sz="8" w:space="0" w:color="5C5C5C"/>
            </w:tcBorders>
            <w:shd w:fill="FFFFFF" w:val="clear"/>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96" w:type="dxa"/>
            <w:gridSpan w:val="3"/>
            <w:tcBorders>
              <w:top w:val="single" w:sz="8" w:space="0" w:color="5C5C5C"/>
              <w:left w:val="single" w:sz="8" w:space="0" w:color="5C5C5C"/>
              <w:bottom w:val="single" w:sz="8" w:space="0" w:color="5C5C5C"/>
            </w:tcBorders>
            <w:shd w:fill="FFFFFF" w:val="clear"/>
            <w:tcMar>
              <w:top w:w="30" w:type="dxa"/>
              <w:left w:w="63"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HO Readiness - Refine and execute market access strategy</w:t>
            </w:r>
          </w:p>
        </w:tc>
        <w:tc>
          <w:tcPr>
            <w:tcW w:w="608" w:type="dxa"/>
            <w:gridSpan w:val="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5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6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771" w:type="dxa"/>
            <w:tcBorders>
              <w:top w:val="single" w:sz="8" w:space="0" w:color="000000"/>
              <w:bottom w:val="single" w:sz="8" w:space="0" w:color="000000"/>
              <w:right w:val="single" w:sz="8" w:space="0" w:color="000000"/>
            </w:tcBorders>
            <w:shd w:fill="FFFFFF" w:val="clear"/>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12"/>
            <w:tcBorders>
              <w:left w:val="single" w:sz="8" w:space="0" w:color="5C5C5C"/>
              <w:right w:val="single" w:sz="8" w:space="0" w:color="5C5C5C"/>
            </w:tcBorders>
            <w:shd w:fill="F2F2F2" w:val="clear"/>
            <w:tcMar>
              <w:top w:w="0" w:type="dxa"/>
              <w:left w:w="63"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America</w:t>
            </w:r>
          </w:p>
        </w:tc>
      </w:tr>
      <w:tr>
        <w:trPr/>
        <w:tc>
          <w:tcPr>
            <w:tcW w:w="6396" w:type="dxa"/>
            <w:gridSpan w:val="3"/>
            <w:tcBorders>
              <w:top w:val="single" w:sz="8" w:space="0" w:color="5C5C5C"/>
              <w:left w:val="single" w:sz="8" w:space="0" w:color="5C5C5C"/>
            </w:tcBorders>
            <w:shd w:fill="FFFFFF" w:val="clear"/>
            <w:tcMar>
              <w:top w:w="3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 Readiness - Ensure field team readiness for launch</w:t>
            </w:r>
          </w:p>
        </w:tc>
        <w:tc>
          <w:tcPr>
            <w:tcW w:w="608" w:type="dxa"/>
            <w:gridSpan w:val="2"/>
            <w:tcBorders>
              <w:top w:val="single" w:sz="8" w:space="0" w:color="5C5C5C"/>
              <w:left w:val="single" w:sz="8" w:space="0" w:color="5C5C5C"/>
              <w:bottom w:val="single" w:sz="8" w:space="0" w:color="5C5C5C"/>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23" w:type="dxa"/>
            <w:tcBorders>
              <w:top w:val="single" w:sz="8" w:space="0" w:color="5C5C5C"/>
              <w:bottom w:val="single" w:sz="8" w:space="0" w:color="5C5C5C"/>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5C5C5C"/>
              <w:left w:val="single" w:sz="8" w:space="0" w:color="5C5C5C"/>
              <w:bottom w:val="single" w:sz="8" w:space="0" w:color="5C5C5C"/>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63" w:type="dxa"/>
            <w:tcBorders>
              <w:top w:val="single" w:sz="8" w:space="0" w:color="5C5C5C"/>
              <w:bottom w:val="single" w:sz="8" w:space="0" w:color="5C5C5C"/>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5C5C5C"/>
              <w:left w:val="single" w:sz="8" w:space="0" w:color="5C5C5C"/>
              <w:bottom w:val="single" w:sz="8" w:space="0" w:color="5C5C5C"/>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771" w:type="dxa"/>
            <w:tcBorders>
              <w:top w:val="single" w:sz="8" w:space="0" w:color="5C5C5C"/>
              <w:bottom w:val="single" w:sz="8" w:space="0" w:color="5C5C5C"/>
              <w:right w:val="single" w:sz="8" w:space="0" w:color="5C5C5C"/>
            </w:tcBorders>
            <w:shd w:fill="FFFFFF" w:val="clear"/>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12"/>
            <w:tcBorders>
              <w:top w:val="single" w:sz="8" w:space="0" w:color="5C5C5C"/>
              <w:left w:val="single" w:sz="8" w:space="0" w:color="5C5C5C"/>
              <w:right w:val="single" w:sz="8" w:space="0" w:color="5C5C5C"/>
            </w:tcBorders>
            <w:shd w:fill="F2F2F2" w:val="clear"/>
            <w:tcMar>
              <w:top w:w="30" w:type="dxa"/>
              <w:left w:w="63"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w:t>
            </w:r>
          </w:p>
        </w:tc>
      </w:tr>
      <w:tr>
        <w:trPr/>
        <w:tc>
          <w:tcPr>
            <w:tcW w:w="6396" w:type="dxa"/>
            <w:gridSpan w:val="3"/>
            <w:tcBorders>
              <w:top w:val="single" w:sz="8" w:space="0" w:color="5C5C5C"/>
              <w:left w:val="single" w:sz="8" w:space="0" w:color="5C5C5C"/>
            </w:tcBorders>
            <w:shd w:fill="FFFFFF" w:val="clear"/>
            <w:tcMar>
              <w:top w:w="30" w:type="dxa"/>
              <w:left w:w="63"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 Readiness - Accelerate cross-functional plan for Japan; Scientific Communications and Congresses Plan; French and Italian early access programs</w:t>
            </w:r>
          </w:p>
        </w:tc>
        <w:tc>
          <w:tcPr>
            <w:tcW w:w="608" w:type="dxa"/>
            <w:gridSpan w:val="2"/>
            <w:tcBorders>
              <w:top w:val="single" w:sz="8" w:space="0" w:color="5C5C5C"/>
              <w:left w:val="single" w:sz="8" w:space="0" w:color="5C5C5C"/>
              <w:bottom w:val="single" w:sz="8" w:space="0" w:color="5C5C5C"/>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523" w:type="dxa"/>
            <w:tcBorders>
              <w:top w:val="single" w:sz="8" w:space="0" w:color="5C5C5C"/>
              <w:bottom w:val="single" w:sz="8" w:space="0" w:color="5C5C5C"/>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5C5C5C"/>
              <w:left w:val="single" w:sz="8" w:space="0" w:color="5C5C5C"/>
              <w:bottom w:val="single" w:sz="8" w:space="0" w:color="5C5C5C"/>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663" w:type="dxa"/>
            <w:tcBorders>
              <w:top w:val="single" w:sz="8" w:space="0" w:color="5C5C5C"/>
              <w:bottom w:val="single" w:sz="8" w:space="0" w:color="5C5C5C"/>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5C5C5C"/>
              <w:left w:val="single" w:sz="8" w:space="0" w:color="5C5C5C"/>
              <w:bottom w:val="single" w:sz="8" w:space="0" w:color="5C5C5C"/>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771" w:type="dxa"/>
            <w:tcBorders>
              <w:top w:val="single" w:sz="8" w:space="0" w:color="5C5C5C"/>
              <w:bottom w:val="single" w:sz="8" w:space="0" w:color="5C5C5C"/>
              <w:right w:val="single" w:sz="8" w:space="0" w:color="5C5C5C"/>
            </w:tcBorders>
            <w:shd w:fill="FFFFFF" w:val="clear"/>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12"/>
            <w:tcBorders>
              <w:top w:val="single" w:sz="8" w:space="0" w:color="5C5C5C"/>
              <w:left w:val="single" w:sz="8" w:space="0" w:color="5C5C5C"/>
              <w:right w:val="single" w:sz="8" w:space="0" w:color="5C5C5C"/>
            </w:tcBorders>
            <w:shd w:fill="F2F2F2" w:val="clear"/>
            <w:tcMar>
              <w:top w:w="30" w:type="dxa"/>
              <w:left w:w="63"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Pipeline</w:t>
            </w:r>
          </w:p>
        </w:tc>
      </w:tr>
      <w:tr>
        <w:trPr/>
        <w:tc>
          <w:tcPr>
            <w:tcW w:w="6396" w:type="dxa"/>
            <w:gridSpan w:val="3"/>
            <w:tcBorders>
              <w:top w:val="single" w:sz="8" w:space="0" w:color="5C5C5C"/>
              <w:left w:val="single" w:sz="8" w:space="0" w:color="5C5C5C"/>
            </w:tcBorders>
            <w:shd w:fill="FFFFFF" w:val="clear"/>
            <w:tcMar>
              <w:top w:w="30" w:type="dxa"/>
              <w:left w:w="63"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 HO - Setmelanotide HO Phase 3; Regulatory Submissions; Bivamelagon HO Phase 2</w:t>
              <w:br/>
              <w:t>Advance Setmelanotide Program - PWS, Congenital HO</w:t>
              <w:br/>
              <w:t>Advance CMC for RM-718 and Bivamelagon</w:t>
              <w:br/>
              <w:t>Advance CHI Program and New Research</w:t>
            </w:r>
          </w:p>
        </w:tc>
        <w:tc>
          <w:tcPr>
            <w:tcW w:w="608" w:type="dxa"/>
            <w:gridSpan w:val="2"/>
            <w:tcBorders>
              <w:top w:val="single" w:sz="8" w:space="0" w:color="5C5C5C"/>
              <w:left w:val="single" w:sz="8" w:space="0" w:color="5C5C5C"/>
              <w:bottom w:val="single" w:sz="8" w:space="0" w:color="5C5C5C"/>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523" w:type="dxa"/>
            <w:tcBorders>
              <w:top w:val="single" w:sz="8" w:space="0" w:color="5C5C5C"/>
              <w:bottom w:val="single" w:sz="8" w:space="0" w:color="5C5C5C"/>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5C5C5C"/>
              <w:left w:val="single" w:sz="8" w:space="0" w:color="5C5C5C"/>
              <w:bottom w:val="single" w:sz="8" w:space="0" w:color="5C5C5C"/>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663" w:type="dxa"/>
            <w:tcBorders>
              <w:top w:val="single" w:sz="8" w:space="0" w:color="5C5C5C"/>
              <w:bottom w:val="single" w:sz="8" w:space="0" w:color="5C5C5C"/>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5C5C5C"/>
              <w:left w:val="single" w:sz="8" w:space="0" w:color="5C5C5C"/>
              <w:bottom w:val="single" w:sz="8" w:space="0" w:color="5C5C5C"/>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771" w:type="dxa"/>
            <w:tcBorders>
              <w:top w:val="single" w:sz="8" w:space="0" w:color="5C5C5C"/>
              <w:bottom w:val="single" w:sz="8" w:space="0" w:color="5C5C5C"/>
              <w:right w:val="single" w:sz="8" w:space="0" w:color="5C5C5C"/>
            </w:tcBorders>
            <w:shd w:fill="FFFFFF" w:val="clear"/>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12"/>
            <w:tcBorders>
              <w:top w:val="single" w:sz="8" w:space="0" w:color="5C5C5C"/>
              <w:left w:val="single" w:sz="8" w:space="0" w:color="5C5C5C"/>
              <w:right w:val="single" w:sz="8" w:space="0" w:color="5C5C5C"/>
            </w:tcBorders>
            <w:shd w:fill="F2F2F2" w:val="clear"/>
            <w:tcMar>
              <w:top w:w="30" w:type="dxa"/>
              <w:left w:w="63"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Operational Excellence</w:t>
            </w:r>
          </w:p>
        </w:tc>
      </w:tr>
      <w:tr>
        <w:trPr/>
        <w:tc>
          <w:tcPr>
            <w:tcW w:w="6396" w:type="dxa"/>
            <w:gridSpan w:val="3"/>
            <w:tcBorders>
              <w:top w:val="single" w:sz="8" w:space="0" w:color="5C5C5C"/>
              <w:left w:val="single" w:sz="8" w:space="0" w:color="5C5C5C"/>
            </w:tcBorders>
            <w:shd w:fill="FFFFFF" w:val="clear"/>
            <w:tcMar>
              <w:top w:w="3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Continuous Improvement Goals</w:t>
            </w:r>
          </w:p>
        </w:tc>
        <w:tc>
          <w:tcPr>
            <w:tcW w:w="608" w:type="dxa"/>
            <w:gridSpan w:val="2"/>
            <w:tcBorders>
              <w:top w:val="single" w:sz="8" w:space="0" w:color="5C5C5C"/>
              <w:left w:val="single" w:sz="8" w:space="0" w:color="5C5C5C"/>
              <w:bottom w:val="single" w:sz="8" w:space="0" w:color="5C5C5C"/>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523" w:type="dxa"/>
            <w:tcBorders>
              <w:top w:val="single" w:sz="8" w:space="0" w:color="5C5C5C"/>
              <w:bottom w:val="single" w:sz="8" w:space="0" w:color="5C5C5C"/>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5C5C5C"/>
              <w:left w:val="single" w:sz="8" w:space="0" w:color="5C5C5C"/>
              <w:bottom w:val="single" w:sz="8" w:space="0" w:color="5C5C5C"/>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663" w:type="dxa"/>
            <w:tcBorders>
              <w:top w:val="single" w:sz="8" w:space="0" w:color="5C5C5C"/>
              <w:bottom w:val="single" w:sz="8" w:space="0" w:color="5C5C5C"/>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5C5C5C"/>
              <w:left w:val="single" w:sz="8" w:space="0" w:color="5C5C5C"/>
              <w:bottom w:val="single" w:sz="8" w:space="0" w:color="5C5C5C"/>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771" w:type="dxa"/>
            <w:tcBorders>
              <w:top w:val="single" w:sz="8" w:space="0" w:color="5C5C5C"/>
              <w:bottom w:val="single" w:sz="8" w:space="0" w:color="5C5C5C"/>
              <w:right w:val="single" w:sz="8" w:space="0" w:color="5C5C5C"/>
            </w:tcBorders>
            <w:shd w:fill="FFFFFF" w:val="clear"/>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12"/>
            <w:tcBorders>
              <w:top w:val="single" w:sz="8" w:space="0" w:color="5C5C5C"/>
              <w:left w:val="single" w:sz="8" w:space="0" w:color="5C5C5C"/>
              <w:right w:val="single" w:sz="8" w:space="0" w:color="5C5C5C"/>
            </w:tcBorders>
            <w:shd w:fill="F2F2F2" w:val="clear"/>
            <w:tcMar>
              <w:top w:w="30" w:type="dxa"/>
              <w:left w:w="63"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People and Organization</w:t>
            </w:r>
          </w:p>
        </w:tc>
      </w:tr>
      <w:tr>
        <w:trPr/>
        <w:tc>
          <w:tcPr>
            <w:tcW w:w="6396" w:type="dxa"/>
            <w:gridSpan w:val="3"/>
            <w:tcBorders>
              <w:top w:val="single" w:sz="8" w:space="0" w:color="5C5C5C"/>
              <w:left w:val="single" w:sz="8" w:space="0" w:color="5C5C5C"/>
            </w:tcBorders>
            <w:shd w:fill="FFFFFF" w:val="clear"/>
            <w:tcMar>
              <w:top w:w="3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Cultivating a High-Performing Culture</w:t>
            </w:r>
          </w:p>
        </w:tc>
        <w:tc>
          <w:tcPr>
            <w:tcW w:w="608" w:type="dxa"/>
            <w:gridSpan w:val="2"/>
            <w:tcBorders>
              <w:top w:val="single" w:sz="8" w:space="0" w:color="5C5C5C"/>
              <w:left w:val="single" w:sz="8" w:space="0" w:color="5C5C5C"/>
              <w:bottom w:val="single" w:sz="8" w:space="0" w:color="5C5C5C"/>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523" w:type="dxa"/>
            <w:tcBorders>
              <w:top w:val="single" w:sz="8" w:space="0" w:color="5C5C5C"/>
              <w:bottom w:val="single" w:sz="8" w:space="0" w:color="5C5C5C"/>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5C5C5C"/>
              <w:left w:val="single" w:sz="8" w:space="0" w:color="5C5C5C"/>
              <w:bottom w:val="single" w:sz="8" w:space="0" w:color="5C5C5C"/>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663" w:type="dxa"/>
            <w:tcBorders>
              <w:top w:val="single" w:sz="8" w:space="0" w:color="5C5C5C"/>
              <w:bottom w:val="single" w:sz="8" w:space="0" w:color="5C5C5C"/>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5C5C5C"/>
              <w:left w:val="single" w:sz="8" w:space="0" w:color="5C5C5C"/>
              <w:bottom w:val="single" w:sz="8" w:space="0" w:color="5C5C5C"/>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771" w:type="dxa"/>
            <w:tcBorders>
              <w:top w:val="single" w:sz="8" w:space="0" w:color="5C5C5C"/>
              <w:bottom w:val="single" w:sz="8" w:space="0" w:color="5C5C5C"/>
              <w:right w:val="single" w:sz="8" w:space="0" w:color="5C5C5C"/>
            </w:tcBorders>
            <w:shd w:fill="FFFFFF" w:val="clear"/>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12"/>
            <w:tcBorders>
              <w:top w:val="single" w:sz="8" w:space="0" w:color="5C5C5C"/>
              <w:left w:val="single" w:sz="8" w:space="0" w:color="5C5C5C"/>
              <w:right w:val="single" w:sz="8" w:space="0" w:color="5C5C5C"/>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top w:val="single" w:sz="8" w:space="0" w:color="5C5C5C"/>
              <w:left w:val="single" w:sz="8" w:space="0" w:color="5C5C5C"/>
            </w:tcBorders>
            <w:shd w:fill="D9D9D9" w:val="clear"/>
            <w:tcMar>
              <w:top w:w="3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Objective Category Sub-Totals</w:t>
            </w:r>
          </w:p>
        </w:tc>
        <w:tc>
          <w:tcPr>
            <w:tcW w:w="608" w:type="dxa"/>
            <w:gridSpan w:val="2"/>
            <w:tcBorders>
              <w:top w:val="single" w:sz="8" w:space="0" w:color="5C5C5C"/>
              <w:left w:val="single" w:sz="8" w:space="0" w:color="5C5C5C"/>
            </w:tcBorders>
            <w:shd w:fill="D9D9D9"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523" w:type="dxa"/>
            <w:tcBorders>
              <w:top w:val="single" w:sz="8" w:space="0" w:color="5C5C5C"/>
            </w:tcBorders>
            <w:shd w:fill="D9D9D9"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2" w:type="dxa"/>
            <w:gridSpan w:val="2"/>
            <w:tcBorders>
              <w:top w:val="single" w:sz="8" w:space="0" w:color="5C5C5C"/>
              <w:left w:val="single" w:sz="8" w:space="0" w:color="5C5C5C"/>
            </w:tcBorders>
            <w:shd w:fill="D9D9D9"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147.5</w:t>
            </w:r>
          </w:p>
        </w:tc>
        <w:tc>
          <w:tcPr>
            <w:tcW w:w="663" w:type="dxa"/>
            <w:tcBorders>
              <w:top w:val="single" w:sz="8" w:space="0" w:color="5C5C5C"/>
            </w:tcBorders>
            <w:shd w:fill="D9D9D9"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2" w:type="dxa"/>
            <w:gridSpan w:val="2"/>
            <w:tcBorders>
              <w:top w:val="single" w:sz="8" w:space="0" w:color="5C5C5C"/>
              <w:left w:val="single" w:sz="8" w:space="0" w:color="5C5C5C"/>
            </w:tcBorders>
            <w:shd w:fill="D9D9D9"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99.7</w:t>
            </w:r>
          </w:p>
        </w:tc>
        <w:tc>
          <w:tcPr>
            <w:tcW w:w="771" w:type="dxa"/>
            <w:tcBorders>
              <w:top w:val="single" w:sz="8" w:space="0" w:color="5C5C5C"/>
              <w:right w:val="single" w:sz="8" w:space="0" w:color="5C5C5C"/>
            </w:tcBorders>
            <w:shd w:fill="D9D9D9" w:val="clear"/>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6396" w:type="dxa"/>
            <w:gridSpan w:val="3"/>
            <w:tcBorders>
              <w:top w:val="single" w:sz="8" w:space="0" w:color="5C5C5C"/>
              <w:left w:val="single" w:sz="8" w:space="0" w:color="5C5C5C"/>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5C5C5C"/>
              <w:left w:val="single" w:sz="8" w:space="0" w:color="5C5C5C"/>
              <w:bottom w:val="single" w:sz="8" w:space="0" w:color="5C5C5C"/>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5C5C5C"/>
              <w:left w:val="single" w:sz="8" w:space="0" w:color="5C5C5C"/>
              <w:bottom w:val="single" w:sz="8" w:space="0" w:color="5C5C5C"/>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5C5C5C"/>
              <w:left w:val="single" w:sz="8" w:space="0" w:color="5C5C5C"/>
              <w:bottom w:val="single" w:sz="8" w:space="0" w:color="5C5C5C"/>
              <w:right w:val="single" w:sz="8" w:space="0" w:color="5C5C5C"/>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5C5C5C"/>
              <w:left w:val="single" w:sz="8" w:space="0" w:color="5C5C5C"/>
              <w:right w:val="single" w:sz="8" w:space="0" w:color="5C5C5C"/>
            </w:tcBorders>
            <w:shd w:fill="F2F2F2" w:val="clear"/>
            <w:tcMar>
              <w:top w:w="30" w:type="dxa"/>
              <w:left w:w="63"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Additional Achievements Outside of Above</w:t>
            </w:r>
          </w:p>
        </w:tc>
      </w:tr>
      <w:tr>
        <w:trPr/>
        <w:tc>
          <w:tcPr>
            <w:tcW w:w="6396" w:type="dxa"/>
            <w:gridSpan w:val="3"/>
            <w:tcBorders>
              <w:top w:val="single" w:sz="8" w:space="0" w:color="5C5C5C"/>
              <w:left w:val="single" w:sz="8" w:space="0" w:color="5C5C5C"/>
            </w:tcBorders>
            <w:shd w:fill="FFFFFF" w:val="clear"/>
            <w:tcMar>
              <w:top w:w="30" w:type="dxa"/>
              <w:left w:w="63"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and Cash Runway; Pipeline Advancement (Part D for RM-718 for PWS); People and Organization (Japan expansion; #6 on Boston Globe Top Places to Work)</w:t>
            </w:r>
          </w:p>
        </w:tc>
        <w:tc>
          <w:tcPr>
            <w:tcW w:w="1131" w:type="dxa"/>
            <w:gridSpan w:val="3"/>
            <w:tcBorders>
              <w:top w:val="single" w:sz="8" w:space="0" w:color="5C5C5C"/>
              <w:left w:val="single" w:sz="8" w:space="0" w:color="5C5C5C"/>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285" w:type="dxa"/>
            <w:gridSpan w:val="3"/>
            <w:tcBorders>
              <w:top w:val="single" w:sz="8" w:space="0" w:color="5C5C5C"/>
              <w:left w:val="single" w:sz="8" w:space="0" w:color="5C5C5C"/>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622" w:type="dxa"/>
            <w:gridSpan w:val="2"/>
            <w:tcBorders>
              <w:top w:val="single" w:sz="8" w:space="0" w:color="5C5C5C"/>
              <w:left w:val="single" w:sz="8" w:space="0" w:color="5C5C5C"/>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771" w:type="dxa"/>
            <w:tcBorders>
              <w:top w:val="single" w:sz="8" w:space="0" w:color="5C5C5C"/>
              <w:right w:val="single" w:sz="8" w:space="0" w:color="5C5C5C"/>
            </w:tcBorders>
            <w:shd w:fill="FFFFFF" w:val="clear"/>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96" w:type="dxa"/>
            <w:gridSpan w:val="3"/>
            <w:tcBorders>
              <w:top w:val="single" w:sz="8" w:space="0" w:color="5C5C5C"/>
              <w:left w:val="single" w:sz="8" w:space="0" w:color="5C5C5C"/>
              <w:bottom w:val="single" w:sz="8" w:space="0" w:color="5C5C5C"/>
            </w:tcBorders>
            <w:shd w:fill="98DAFC" w:val="clear"/>
            <w:tcMar>
              <w:top w:w="30" w:type="dxa"/>
              <w:left w:w="63"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 (as determined by the Board):</w:t>
            </w:r>
          </w:p>
        </w:tc>
        <w:tc>
          <w:tcPr>
            <w:tcW w:w="1131" w:type="dxa"/>
            <w:gridSpan w:val="3"/>
            <w:tcBorders>
              <w:top w:val="single" w:sz="8" w:space="0" w:color="5C5C5C"/>
              <w:left w:val="single" w:sz="8" w:space="0" w:color="5C5C5C"/>
              <w:bottom w:val="single" w:sz="8" w:space="0" w:color="5C5C5C"/>
            </w:tcBorders>
            <w:shd w:fill="98DAFC" w:val="clear"/>
            <w:tcMar>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5C5C5C"/>
              <w:left w:val="single" w:sz="8" w:space="0" w:color="5C5C5C"/>
              <w:bottom w:val="single" w:sz="8" w:space="0" w:color="5C5C5C"/>
            </w:tcBorders>
            <w:shd w:fill="98DAFC" w:val="clear"/>
            <w:tcMar>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5C5C5C"/>
              <w:left w:val="single" w:sz="8" w:space="0" w:color="5C5C5C"/>
              <w:bottom w:val="single" w:sz="8" w:space="0" w:color="5C5C5C"/>
            </w:tcBorders>
            <w:shd w:fill="98DAFC"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120.0</w:t>
            </w:r>
          </w:p>
        </w:tc>
        <w:tc>
          <w:tcPr>
            <w:tcW w:w="771" w:type="dxa"/>
            <w:tcBorders>
              <w:top w:val="single" w:sz="8" w:space="0" w:color="5C5C5C"/>
              <w:bottom w:val="single" w:sz="8" w:space="0" w:color="5C5C5C"/>
              <w:right w:val="single" w:sz="8" w:space="0" w:color="5C5C5C"/>
            </w:tcBorders>
            <w:shd w:fill="98DAFC" w:val="clear"/>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2025 individual goals for each NEO were aligned with and based on each NEO’s ability to influence the company’s attainment of the corporate objectives. Individual goals represent 30% of each NEOs annual target bonus opportunity. Our NEOs’ 2025 target bonuses as a percentage of base salary were as follows:</w:t>
      </w:r>
    </w:p>
    <w:tbl>
      <w:tblPr>
        <w:tblW w:w="3697" w:type="dxa"/>
        <w:jc w:val="left"/>
        <w:tblInd w:w="0" w:type="dxa"/>
        <w:tblLayout w:type="fixed"/>
        <w:tblCellMar>
          <w:top w:w="28" w:type="dxa"/>
          <w:left w:w="28" w:type="dxa"/>
          <w:bottom w:w="28" w:type="dxa"/>
          <w:right w:w="28" w:type="dxa"/>
        </w:tblCellMar>
      </w:tblPr>
      <w:tblGrid>
        <w:gridCol w:w="547"/>
        <w:gridCol w:w="479"/>
        <w:gridCol w:w="488"/>
        <w:gridCol w:w="109"/>
        <w:gridCol w:w="109"/>
        <w:gridCol w:w="109"/>
        <w:gridCol w:w="329"/>
        <w:gridCol w:w="329"/>
        <w:gridCol w:w="826"/>
        <w:gridCol w:w="109"/>
        <w:gridCol w:w="109"/>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 Target Bonus</w:t>
              <w:br/>
              <w:t>(as a percentage of</w:t>
              <w:br/>
              <w:t>base salary)</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P. Meeker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Hunter C. Smith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Lee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Yann Mazabraud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Alastair Garfield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After the end of 2025, the Compensation &amp; Management Development Committee and the Board determined that the Company had achieved the 2025 corporate goals at 120% of target, reflecting the significant progress on key objectives made during 2025. The average individual performance modifier for all NEOs for 2025 was 153%. The table below shows each NEO’s target bonus and actual payout under the 2025 annual bonus program. The annual bonus payout formula is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51485"/>
                <wp:effectExtent l="0" t="0" r="0" b="0"/>
                <wp:wrapNone/>
                <wp:docPr id="45" name="Frame4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follows: Actual Payout = ((Salary x Target Bonus % x 70% x Corporate Achievement Multiplier) + (Salary x Target Bonus % x 30% x Individual Achievement Multiplier)) * Time in Role Proration.</w:t>
      </w:r>
    </w:p>
    <w:tbl>
      <w:tblPr>
        <w:tblW w:w="4941" w:type="dxa"/>
        <w:jc w:val="left"/>
        <w:tblInd w:w="0" w:type="dxa"/>
        <w:tblLayout w:type="fixed"/>
        <w:tblCellMar>
          <w:top w:w="28" w:type="dxa"/>
          <w:left w:w="28" w:type="dxa"/>
          <w:bottom w:w="28" w:type="dxa"/>
          <w:right w:w="28" w:type="dxa"/>
        </w:tblCellMar>
      </w:tblPr>
      <w:tblGrid>
        <w:gridCol w:w="706"/>
        <w:gridCol w:w="621"/>
        <w:gridCol w:w="623"/>
        <w:gridCol w:w="109"/>
        <w:gridCol w:w="109"/>
        <w:gridCol w:w="109"/>
        <w:gridCol w:w="211"/>
        <w:gridCol w:w="826"/>
        <w:gridCol w:w="109"/>
        <w:gridCol w:w="109"/>
        <w:gridCol w:w="109"/>
        <w:gridCol w:w="109"/>
        <w:gridCol w:w="211"/>
        <w:gridCol w:w="82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Named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Target</w:t>
              <w:br/>
              <w:t>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 2025</w:t>
              <w:br/>
              <w:t>Bonus Payout</w:t>
            </w:r>
          </w:p>
        </w:tc>
      </w:tr>
      <w:tr>
        <w:trPr/>
        <w:tc>
          <w:tcPr>
            <w:tcW w:w="195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P. Meeker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588,750 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759,488 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Hunter C. Smith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Lee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Yann Mazabraud(1)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Alastair Garfield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(1)These amounts were converted from Euros to U.S. dollars based on an exchange rate of 1.17631 as of December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Equity-Based Long-Term Incentive Awards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maintain the 2017 Equity Incentive Plan (the “2017 Plan”), under which we may grant equity incentive awards to directors, employees and consultants of our Company and our affiliates, to enable us to attract and retain services, skills and experience of these individuals, which we believe are essential to our long-term success. We do not currently have any formal policy for determining the number of equity-based awards to grant to NEOs.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Annual Equity Awards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2025, our Compensation &amp; Management Development Committee approved grants of stock options and RSUs to our NEOs. Our NEOs were awarded a blend of stock options and RSUs similar to other commercial stage life sciences companies in the market. Annual equity awards are designed as long-term incentive and retention tools, determined by the Compensation &amp; Management Development Committee and based on a number of factors, including number of shares as a percent of the company’s common shares outstanding, equity value, equity as a portion of total direct compensation, and relevant external market data and recommendations provided by the Compensation &amp; Management Development Committee’s independent compensation consultant. The stock options are scheduled to vest and become exercisable in sixteen substantially equal quarterly installments following the applicable vesting commencement date. The RSUs are scheduled to vest in four equal annual installments following the applicable vesting commencement dates. Vesting of the stock options and RSUs is subject to continued service through each applicable vesting date.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contains a summary of grants of stock options and RSUs to our NEOs in 2025:</w:t>
      </w:r>
    </w:p>
    <w:tbl>
      <w:tblPr>
        <w:tblW w:w="4942" w:type="dxa"/>
        <w:jc w:val="left"/>
        <w:tblInd w:w="0" w:type="dxa"/>
        <w:tblLayout w:type="fixed"/>
        <w:tblCellMar>
          <w:top w:w="28" w:type="dxa"/>
          <w:left w:w="28" w:type="dxa"/>
          <w:bottom w:w="28" w:type="dxa"/>
          <w:right w:w="28" w:type="dxa"/>
        </w:tblCellMar>
      </w:tblPr>
      <w:tblGrid>
        <w:gridCol w:w="547"/>
        <w:gridCol w:w="479"/>
        <w:gridCol w:w="488"/>
        <w:gridCol w:w="109"/>
        <w:gridCol w:w="109"/>
        <w:gridCol w:w="109"/>
        <w:gridCol w:w="469"/>
        <w:gridCol w:w="469"/>
        <w:gridCol w:w="471"/>
        <w:gridCol w:w="109"/>
        <w:gridCol w:w="109"/>
        <w:gridCol w:w="109"/>
        <w:gridCol w:w="399"/>
        <w:gridCol w:w="399"/>
        <w:gridCol w:w="567"/>
      </w:tblGrid>
      <w:tr>
        <w:trPr/>
        <w:tc>
          <w:tcPr>
            <w:tcW w:w="5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 Shares</w:t>
              <w:br/>
              <w:t>Underlying Stock</w:t>
              <w:b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 RSUs</w:t>
            </w:r>
          </w:p>
        </w:tc>
      </w:tr>
      <w:tr>
        <w:trPr/>
        <w:tc>
          <w:tcPr>
            <w:tcW w:w="151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P. Meeker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133,350</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Hunter C. Smith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41,650</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Lee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36,650</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Yann Mazabraud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Alastair Garfield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26,650</w:t>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2024-2026 Special PSU Grants and Determination of Performance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2024 the Committee granted PSU awards on a special, one-time basis to our NEOs with long-term performance criteria designed to drive stockholder value and align executive pay with compensation performance. The PSUs granted in 2024 vest upon the achievement of key strategic financial, commercial and clinical milestone performance goals over a three-year period. Shares will vest, if any, following the conclusion of the performance period based on the Committee’s certification of performance results relative to the original goals. While a portion of the PSUs are earned based on annual net product revenue achievements for each year during the performance period, these PSUs do not vest until the end of the performance period. Given the rapidly evolving nature of our business and revenue base, setting annual targets was deemed more appropriate than basing achievement on a pre-defined longer term revenue goal. Payouts may range from 0%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51485"/>
                <wp:effectExtent l="0" t="0" r="0" b="0"/>
                <wp:wrapNone/>
                <wp:docPr id="46" name="Frame4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140% of target depending on performance and are calculated by multiplying the sum of the achievement percentages for all goals over the performance period by the target number of PSUs subject to an award.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performance metrics for the PSUs granted in 2024 are set forth in the below table: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06"/>
        <w:gridCol w:w="625"/>
        <w:gridCol w:w="625"/>
        <w:gridCol w:w="2313"/>
        <w:gridCol w:w="2078"/>
        <w:gridCol w:w="2023"/>
        <w:gridCol w:w="563"/>
        <w:gridCol w:w="509"/>
        <w:gridCol w:w="563"/>
      </w:tblGrid>
      <w:tr>
        <w:trPr/>
        <w:tc>
          <w:tcPr>
            <w:tcW w:w="90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606060"/>
              <w:left w:val="single" w:sz="8" w:space="0" w:color="606060"/>
              <w:right w:val="single" w:sz="8" w:space="0" w:color="606060"/>
            </w:tcBorders>
            <w:shd w:fill="97DCF4"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2024-2026 Rhythm Pharmaceuticals PSU Program Scorecard</w:t>
            </w:r>
          </w:p>
        </w:tc>
      </w:tr>
      <w:tr>
        <w:trPr/>
        <w:tc>
          <w:tcPr>
            <w:tcW w:w="2156" w:type="dxa"/>
            <w:gridSpan w:val="3"/>
            <w:tcBorders>
              <w:top w:val="single" w:sz="8" w:space="0" w:color="606060"/>
              <w:left w:val="single" w:sz="8" w:space="0" w:color="606060"/>
            </w:tcBorders>
            <w:shd w:fill="FFFFFF" w:val="clear"/>
            <w:tcMar>
              <w:top w:w="3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Milestone</w:t>
            </w:r>
          </w:p>
        </w:tc>
        <w:tc>
          <w:tcPr>
            <w:tcW w:w="6414" w:type="dxa"/>
            <w:gridSpan w:val="3"/>
            <w:tcBorders>
              <w:top w:val="single" w:sz="8" w:space="0" w:color="606060"/>
              <w:left w:val="single" w:sz="8" w:space="0" w:color="606060"/>
              <w:bottom w:val="single" w:sz="8" w:space="0" w:color="606060"/>
            </w:tcBorders>
            <w:shd w:fill="FFFFFF" w:val="clear"/>
            <w:tcMar>
              <w:top w:w="30" w:type="dxa"/>
              <w:left w:w="63"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Metric</w:t>
            </w:r>
          </w:p>
        </w:tc>
        <w:tc>
          <w:tcPr>
            <w:tcW w:w="1635" w:type="dxa"/>
            <w:gridSpan w:val="3"/>
            <w:tcBorders>
              <w:top w:val="single" w:sz="8" w:space="0" w:color="606060"/>
              <w:left w:val="single" w:sz="8" w:space="0" w:color="606060"/>
              <w:bottom w:val="single" w:sz="8" w:space="0" w:color="606060"/>
              <w:right w:val="single" w:sz="8" w:space="0" w:color="606060"/>
            </w:tcBorders>
            <w:shd w:fill="FFFFFF"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Achievement</w:t>
              <w:br/>
              <w:t>Percentage</w:t>
            </w:r>
          </w:p>
        </w:tc>
      </w:tr>
      <w:tr>
        <w:trPr/>
        <w:tc>
          <w:tcPr>
            <w:tcW w:w="10205" w:type="dxa"/>
            <w:gridSpan w:val="9"/>
            <w:tcBorders>
              <w:top w:val="single" w:sz="8" w:space="0" w:color="606060"/>
              <w:left w:val="single" w:sz="8" w:space="0" w:color="606060"/>
              <w:right w:val="single" w:sz="8" w:space="0" w:color="606060"/>
            </w:tcBorders>
            <w:shd w:fill="FCE2D5" w:val="clear"/>
            <w:tcMar>
              <w:bottom w:w="0" w:type="dxa"/>
            </w:tcMar>
            <w:vAlign w:val="center"/>
          </w:tcPr>
          <w:p>
            <w:pPr>
              <w:pStyle w:val="TableContents"/>
              <w:bidi w:val="0"/>
              <w:spacing w:before="0" w:after="283"/>
              <w:jc w:val="left"/>
              <w:rPr>
                <w:sz w:val="4"/>
                <w:szCs w:val="4"/>
              </w:rPr>
            </w:pPr>
            <w:r>
              <w:rPr>
                <w:sz w:val="4"/>
                <w:szCs w:val="4"/>
              </w:rPr>
            </w:r>
          </w:p>
        </w:tc>
      </w:tr>
      <w:tr>
        <w:trPr/>
        <w:tc>
          <w:tcPr>
            <w:tcW w:w="2156" w:type="dxa"/>
            <w:gridSpan w:val="3"/>
            <w:vMerge w:val="restart"/>
            <w:tcBorders>
              <w:top w:val="single" w:sz="8" w:space="0" w:color="606060"/>
              <w:left w:val="single" w:sz="8" w:space="0" w:color="606060"/>
            </w:tcBorders>
            <w:shd w:fill="FFFFFF" w:val="clear"/>
            <w:tcMar>
              <w:top w:w="30" w:type="dxa"/>
              <w:bottom w:w="0" w:type="dxa"/>
              <w:right w:w="0" w:type="dxa"/>
            </w:tcMar>
            <w:vAlign w:val="center"/>
          </w:tcPr>
          <w:p>
            <w:pPr>
              <w:pStyle w:val="TableContents"/>
              <w:bidi w:val="0"/>
              <w:spacing w:lineRule="auto" w:line="240" w:before="0" w:after="0"/>
              <w:ind w:left="0" w:right="0" w:hanging="317"/>
              <w:jc w:val="left"/>
              <w:rPr>
                <w:rFonts w:ascii="Times New Roman;serif" w:hAnsi="Times New Roman;serif"/>
                <w:b w:val="false"/>
                <w:color w:val="000000"/>
                <w:sz w:val="20"/>
              </w:rPr>
            </w:pPr>
            <w:r>
              <w:rPr>
                <w:rFonts w:ascii="Times New Roman;serif" w:hAnsi="Times New Roman;serif"/>
                <w:b w:val="false"/>
                <w:color w:val="000000"/>
                <w:sz w:val="20"/>
              </w:rPr>
              <w:t>1.2024 Net Product Revenue</w:t>
            </w:r>
          </w:p>
        </w:tc>
        <w:tc>
          <w:tcPr>
            <w:tcW w:w="6414" w:type="dxa"/>
            <w:gridSpan w:val="3"/>
            <w:tcBorders>
              <w:top w:val="single" w:sz="8" w:space="0" w:color="606060"/>
              <w:left w:val="single" w:sz="8" w:space="0" w:color="606060"/>
            </w:tcBorders>
            <w:shd w:fill="FFFFFF" w:val="clear"/>
            <w:tcMar>
              <w:top w:w="3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Threshold: $104 million</w:t>
            </w:r>
          </w:p>
        </w:tc>
        <w:tc>
          <w:tcPr>
            <w:tcW w:w="1635" w:type="dxa"/>
            <w:gridSpan w:val="3"/>
            <w:tcBorders>
              <w:top w:val="single" w:sz="8" w:space="0" w:color="606060"/>
              <w:left w:val="single" w:sz="8" w:space="0" w:color="606060"/>
              <w:right w:val="single" w:sz="8" w:space="0" w:color="60606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r>
      <w:tr>
        <w:trPr/>
        <w:tc>
          <w:tcPr>
            <w:tcW w:w="2156" w:type="dxa"/>
            <w:gridSpan w:val="3"/>
            <w:vMerge w:val="continue"/>
            <w:tcBorders>
              <w:top w:val="single" w:sz="8" w:space="0" w:color="606060"/>
              <w:left w:val="single" w:sz="8" w:space="0" w:color="606060"/>
            </w:tcBorders>
            <w:shd w:fill="FFFFFF" w:val="clear"/>
            <w:tcMar>
              <w:top w:w="30" w:type="dxa"/>
              <w:bottom w:w="0" w:type="dxa"/>
              <w:right w:w="0" w:type="dxa"/>
            </w:tcMar>
            <w:vAlign w:val="center"/>
          </w:tcPr>
          <w:p>
            <w:pPr>
              <w:pStyle w:val="Normal"/>
              <w:bidi w:val="0"/>
              <w:jc w:val="left"/>
              <w:rPr/>
            </w:pPr>
            <w:r>
              <w:rPr/>
            </w:r>
          </w:p>
        </w:tc>
        <w:tc>
          <w:tcPr>
            <w:tcW w:w="6414" w:type="dxa"/>
            <w:gridSpan w:val="3"/>
            <w:tcBorders>
              <w:top w:val="single" w:sz="8" w:space="0" w:color="606060"/>
              <w:left w:val="single" w:sz="8" w:space="0" w:color="606060"/>
            </w:tcBorders>
            <w:shd w:fill="FFFFFF" w:val="clear"/>
            <w:tcMar>
              <w:top w:w="3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1 Target: $110 million</w:t>
            </w:r>
          </w:p>
        </w:tc>
        <w:tc>
          <w:tcPr>
            <w:tcW w:w="1635" w:type="dxa"/>
            <w:gridSpan w:val="3"/>
            <w:tcBorders>
              <w:top w:val="single" w:sz="8" w:space="0" w:color="606060"/>
              <w:left w:val="single" w:sz="8" w:space="0" w:color="606060"/>
              <w:right w:val="single" w:sz="8" w:space="0" w:color="60606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6.66%</w:t>
            </w:r>
          </w:p>
        </w:tc>
      </w:tr>
      <w:tr>
        <w:trPr/>
        <w:tc>
          <w:tcPr>
            <w:tcW w:w="2156" w:type="dxa"/>
            <w:gridSpan w:val="3"/>
            <w:vMerge w:val="continue"/>
            <w:tcBorders>
              <w:top w:val="single" w:sz="8" w:space="0" w:color="606060"/>
              <w:left w:val="single" w:sz="8" w:space="0" w:color="606060"/>
            </w:tcBorders>
            <w:shd w:fill="FFFFFF" w:val="clear"/>
            <w:tcMar>
              <w:top w:w="30" w:type="dxa"/>
              <w:bottom w:w="0" w:type="dxa"/>
              <w:right w:w="0" w:type="dxa"/>
            </w:tcMar>
            <w:vAlign w:val="center"/>
          </w:tcPr>
          <w:p>
            <w:pPr>
              <w:pStyle w:val="Normal"/>
              <w:bidi w:val="0"/>
              <w:jc w:val="left"/>
              <w:rPr/>
            </w:pPr>
            <w:r>
              <w:rPr/>
            </w:r>
          </w:p>
        </w:tc>
        <w:tc>
          <w:tcPr>
            <w:tcW w:w="6414" w:type="dxa"/>
            <w:gridSpan w:val="3"/>
            <w:tcBorders>
              <w:top w:val="single" w:sz="8" w:space="0" w:color="606060"/>
              <w:left w:val="single" w:sz="8" w:space="0" w:color="606060"/>
            </w:tcBorders>
            <w:shd w:fill="FFFFFF" w:val="clear"/>
            <w:tcMar>
              <w:top w:w="3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2 Target: $122 million</w:t>
            </w:r>
          </w:p>
        </w:tc>
        <w:tc>
          <w:tcPr>
            <w:tcW w:w="1635" w:type="dxa"/>
            <w:gridSpan w:val="3"/>
            <w:tcBorders>
              <w:top w:val="single" w:sz="8" w:space="0" w:color="606060"/>
              <w:left w:val="single" w:sz="8" w:space="0" w:color="606060"/>
              <w:right w:val="single" w:sz="8" w:space="0" w:color="60606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13.33%</w:t>
            </w:r>
          </w:p>
        </w:tc>
      </w:tr>
      <w:tr>
        <w:trPr/>
        <w:tc>
          <w:tcPr>
            <w:tcW w:w="2156" w:type="dxa"/>
            <w:gridSpan w:val="3"/>
            <w:vMerge w:val="continue"/>
            <w:tcBorders>
              <w:top w:val="single" w:sz="8" w:space="0" w:color="606060"/>
              <w:left w:val="single" w:sz="8" w:space="0" w:color="606060"/>
            </w:tcBorders>
            <w:shd w:fill="FFFFFF" w:val="clear"/>
            <w:tcMar>
              <w:top w:w="30" w:type="dxa"/>
              <w:bottom w:w="0" w:type="dxa"/>
              <w:right w:w="0" w:type="dxa"/>
            </w:tcMar>
            <w:vAlign w:val="center"/>
          </w:tcPr>
          <w:p>
            <w:pPr>
              <w:pStyle w:val="Normal"/>
              <w:bidi w:val="0"/>
              <w:jc w:val="left"/>
              <w:rPr/>
            </w:pPr>
            <w:r>
              <w:rPr/>
            </w:r>
          </w:p>
        </w:tc>
        <w:tc>
          <w:tcPr>
            <w:tcW w:w="6414" w:type="dxa"/>
            <w:gridSpan w:val="3"/>
            <w:tcBorders>
              <w:top w:val="single" w:sz="8" w:space="0" w:color="606060"/>
              <w:left w:val="single" w:sz="8" w:space="0" w:color="606060"/>
              <w:bottom w:val="single" w:sz="8" w:space="0" w:color="606060"/>
            </w:tcBorders>
            <w:shd w:fill="FFFFFF" w:val="clear"/>
            <w:tcMar>
              <w:top w:w="30" w:type="dxa"/>
              <w:left w:w="63"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$159 million</w:t>
            </w:r>
          </w:p>
        </w:tc>
        <w:tc>
          <w:tcPr>
            <w:tcW w:w="1635" w:type="dxa"/>
            <w:gridSpan w:val="3"/>
            <w:tcBorders>
              <w:top w:val="single" w:sz="8" w:space="0" w:color="606060"/>
              <w:left w:val="single" w:sz="8" w:space="0" w:color="606060"/>
              <w:bottom w:val="single" w:sz="8" w:space="0" w:color="606060"/>
              <w:right w:val="single" w:sz="8" w:space="0" w:color="606060"/>
            </w:tcBorders>
            <w:shd w:fill="FFFF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26.66%</w:t>
            </w:r>
          </w:p>
        </w:tc>
      </w:tr>
      <w:tr>
        <w:trPr/>
        <w:tc>
          <w:tcPr>
            <w:tcW w:w="10205" w:type="dxa"/>
            <w:gridSpan w:val="9"/>
            <w:tcBorders>
              <w:top w:val="single" w:sz="8" w:space="0" w:color="606060"/>
              <w:left w:val="single" w:sz="8" w:space="0" w:color="606060"/>
              <w:right w:val="single" w:sz="8" w:space="0" w:color="606060"/>
            </w:tcBorders>
            <w:shd w:fill="FCE2D5" w:val="clear"/>
            <w:tcMar>
              <w:bottom w:w="0" w:type="dxa"/>
            </w:tcMar>
            <w:vAlign w:val="center"/>
          </w:tcPr>
          <w:p>
            <w:pPr>
              <w:pStyle w:val="TableContents"/>
              <w:bidi w:val="0"/>
              <w:spacing w:before="0" w:after="283"/>
              <w:jc w:val="left"/>
              <w:rPr>
                <w:sz w:val="4"/>
                <w:szCs w:val="4"/>
              </w:rPr>
            </w:pPr>
            <w:r>
              <w:rPr>
                <w:sz w:val="4"/>
                <w:szCs w:val="4"/>
              </w:rPr>
            </w:r>
          </w:p>
        </w:tc>
      </w:tr>
      <w:tr>
        <w:trPr/>
        <w:tc>
          <w:tcPr>
            <w:tcW w:w="2156" w:type="dxa"/>
            <w:gridSpan w:val="3"/>
            <w:vMerge w:val="restart"/>
            <w:tcBorders>
              <w:top w:val="single" w:sz="8" w:space="0" w:color="606060"/>
              <w:left w:val="single" w:sz="8" w:space="0" w:color="606060"/>
            </w:tcBorders>
            <w:shd w:fill="FFFFFF" w:val="clear"/>
            <w:tcMar>
              <w:top w:w="30" w:type="dxa"/>
              <w:bottom w:w="0" w:type="dxa"/>
              <w:right w:w="0" w:type="dxa"/>
            </w:tcMar>
            <w:vAlign w:val="center"/>
          </w:tcPr>
          <w:p>
            <w:pPr>
              <w:pStyle w:val="TableContents"/>
              <w:bidi w:val="0"/>
              <w:spacing w:lineRule="auto" w:line="240" w:before="0" w:after="0"/>
              <w:ind w:left="0" w:right="0" w:hanging="317"/>
              <w:jc w:val="left"/>
              <w:rPr>
                <w:rFonts w:ascii="Times New Roman;serif" w:hAnsi="Times New Roman;serif"/>
                <w:b w:val="false"/>
                <w:color w:val="000000"/>
                <w:sz w:val="20"/>
              </w:rPr>
            </w:pPr>
            <w:r>
              <w:rPr>
                <w:rFonts w:ascii="Times New Roman;serif" w:hAnsi="Times New Roman;serif"/>
                <w:b w:val="false"/>
                <w:color w:val="000000"/>
                <w:sz w:val="20"/>
              </w:rPr>
              <w:t>2.2025 Net Product Revenue</w:t>
            </w:r>
          </w:p>
        </w:tc>
        <w:tc>
          <w:tcPr>
            <w:tcW w:w="6414" w:type="dxa"/>
            <w:gridSpan w:val="3"/>
            <w:tcBorders>
              <w:top w:val="single" w:sz="8" w:space="0" w:color="606060"/>
              <w:left w:val="single" w:sz="8" w:space="0" w:color="606060"/>
            </w:tcBorders>
            <w:shd w:fill="FFFFFF" w:val="clear"/>
            <w:tcMar>
              <w:top w:w="3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Threshold: $130 million</w:t>
            </w:r>
          </w:p>
        </w:tc>
        <w:tc>
          <w:tcPr>
            <w:tcW w:w="1635" w:type="dxa"/>
            <w:gridSpan w:val="3"/>
            <w:tcBorders>
              <w:top w:val="single" w:sz="8" w:space="0" w:color="606060"/>
              <w:left w:val="single" w:sz="8" w:space="0" w:color="606060"/>
              <w:right w:val="single" w:sz="8" w:space="0" w:color="60606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r>
      <w:tr>
        <w:trPr/>
        <w:tc>
          <w:tcPr>
            <w:tcW w:w="2156" w:type="dxa"/>
            <w:gridSpan w:val="3"/>
            <w:vMerge w:val="continue"/>
            <w:tcBorders>
              <w:top w:val="single" w:sz="8" w:space="0" w:color="606060"/>
              <w:left w:val="single" w:sz="8" w:space="0" w:color="606060"/>
            </w:tcBorders>
            <w:shd w:fill="FFFFFF" w:val="clear"/>
            <w:tcMar>
              <w:top w:w="30" w:type="dxa"/>
              <w:bottom w:w="0" w:type="dxa"/>
              <w:right w:w="0" w:type="dxa"/>
            </w:tcMar>
            <w:vAlign w:val="center"/>
          </w:tcPr>
          <w:p>
            <w:pPr>
              <w:pStyle w:val="Normal"/>
              <w:bidi w:val="0"/>
              <w:jc w:val="left"/>
              <w:rPr/>
            </w:pPr>
            <w:r>
              <w:rPr/>
            </w:r>
          </w:p>
        </w:tc>
        <w:tc>
          <w:tcPr>
            <w:tcW w:w="6414" w:type="dxa"/>
            <w:gridSpan w:val="3"/>
            <w:tcBorders>
              <w:top w:val="single" w:sz="8" w:space="0" w:color="606060"/>
              <w:left w:val="single" w:sz="8" w:space="0" w:color="606060"/>
            </w:tcBorders>
            <w:shd w:fill="FFFFFF" w:val="clear"/>
            <w:tcMar>
              <w:top w:w="3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1 Target: $157 million</w:t>
            </w:r>
          </w:p>
        </w:tc>
        <w:tc>
          <w:tcPr>
            <w:tcW w:w="1635" w:type="dxa"/>
            <w:gridSpan w:val="3"/>
            <w:tcBorders>
              <w:top w:val="single" w:sz="8" w:space="0" w:color="606060"/>
              <w:left w:val="single" w:sz="8" w:space="0" w:color="606060"/>
              <w:right w:val="single" w:sz="8" w:space="0" w:color="60606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6.66%</w:t>
            </w:r>
          </w:p>
        </w:tc>
      </w:tr>
      <w:tr>
        <w:trPr/>
        <w:tc>
          <w:tcPr>
            <w:tcW w:w="2156" w:type="dxa"/>
            <w:gridSpan w:val="3"/>
            <w:vMerge w:val="continue"/>
            <w:tcBorders>
              <w:top w:val="single" w:sz="8" w:space="0" w:color="606060"/>
              <w:left w:val="single" w:sz="8" w:space="0" w:color="606060"/>
            </w:tcBorders>
            <w:shd w:fill="FFFFFF" w:val="clear"/>
            <w:tcMar>
              <w:top w:w="30" w:type="dxa"/>
              <w:bottom w:w="0" w:type="dxa"/>
              <w:right w:w="0" w:type="dxa"/>
            </w:tcMar>
            <w:vAlign w:val="center"/>
          </w:tcPr>
          <w:p>
            <w:pPr>
              <w:pStyle w:val="Normal"/>
              <w:bidi w:val="0"/>
              <w:jc w:val="left"/>
              <w:rPr/>
            </w:pPr>
            <w:r>
              <w:rPr/>
            </w:r>
          </w:p>
        </w:tc>
        <w:tc>
          <w:tcPr>
            <w:tcW w:w="6414" w:type="dxa"/>
            <w:gridSpan w:val="3"/>
            <w:tcBorders>
              <w:top w:val="single" w:sz="8" w:space="0" w:color="606060"/>
              <w:left w:val="single" w:sz="8" w:space="0" w:color="606060"/>
            </w:tcBorders>
            <w:shd w:fill="FFFFFF" w:val="clear"/>
            <w:tcMar>
              <w:top w:w="3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2 Target: $185 million</w:t>
            </w:r>
          </w:p>
        </w:tc>
        <w:tc>
          <w:tcPr>
            <w:tcW w:w="1635" w:type="dxa"/>
            <w:gridSpan w:val="3"/>
            <w:tcBorders>
              <w:top w:val="single" w:sz="8" w:space="0" w:color="606060"/>
              <w:left w:val="single" w:sz="8" w:space="0" w:color="606060"/>
              <w:right w:val="single" w:sz="8" w:space="0" w:color="60606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13.33%</w:t>
            </w:r>
          </w:p>
        </w:tc>
      </w:tr>
      <w:tr>
        <w:trPr/>
        <w:tc>
          <w:tcPr>
            <w:tcW w:w="2156" w:type="dxa"/>
            <w:gridSpan w:val="3"/>
            <w:vMerge w:val="continue"/>
            <w:tcBorders>
              <w:top w:val="single" w:sz="8" w:space="0" w:color="606060"/>
              <w:left w:val="single" w:sz="8" w:space="0" w:color="606060"/>
            </w:tcBorders>
            <w:shd w:fill="FFFFFF" w:val="clear"/>
            <w:tcMar>
              <w:top w:w="30" w:type="dxa"/>
              <w:bottom w:w="0" w:type="dxa"/>
              <w:right w:w="0" w:type="dxa"/>
            </w:tcMar>
            <w:vAlign w:val="center"/>
          </w:tcPr>
          <w:p>
            <w:pPr>
              <w:pStyle w:val="Normal"/>
              <w:bidi w:val="0"/>
              <w:jc w:val="left"/>
              <w:rPr/>
            </w:pPr>
            <w:r>
              <w:rPr/>
            </w:r>
          </w:p>
        </w:tc>
        <w:tc>
          <w:tcPr>
            <w:tcW w:w="6414" w:type="dxa"/>
            <w:gridSpan w:val="3"/>
            <w:tcBorders>
              <w:top w:val="single" w:sz="8" w:space="0" w:color="606060"/>
              <w:left w:val="single" w:sz="8" w:space="0" w:color="606060"/>
              <w:bottom w:val="single" w:sz="8" w:space="0" w:color="606060"/>
            </w:tcBorders>
            <w:shd w:fill="FFFFFF" w:val="clear"/>
            <w:tcMar>
              <w:top w:w="30" w:type="dxa"/>
              <w:left w:w="63"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$240.5 million</w:t>
            </w:r>
          </w:p>
        </w:tc>
        <w:tc>
          <w:tcPr>
            <w:tcW w:w="1635" w:type="dxa"/>
            <w:gridSpan w:val="3"/>
            <w:tcBorders>
              <w:top w:val="single" w:sz="8" w:space="0" w:color="606060"/>
              <w:left w:val="single" w:sz="8" w:space="0" w:color="606060"/>
              <w:bottom w:val="single" w:sz="8" w:space="0" w:color="606060"/>
              <w:right w:val="single" w:sz="8" w:space="0" w:color="606060"/>
            </w:tcBorders>
            <w:shd w:fill="FFFF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26.66%</w:t>
            </w:r>
          </w:p>
        </w:tc>
      </w:tr>
      <w:tr>
        <w:trPr/>
        <w:tc>
          <w:tcPr>
            <w:tcW w:w="10205" w:type="dxa"/>
            <w:gridSpan w:val="9"/>
            <w:tcBorders>
              <w:top w:val="single" w:sz="8" w:space="0" w:color="606060"/>
              <w:left w:val="single" w:sz="8" w:space="0" w:color="606060"/>
              <w:right w:val="single" w:sz="8" w:space="0" w:color="606060"/>
            </w:tcBorders>
            <w:shd w:fill="FCE2D5" w:val="clear"/>
            <w:tcMar>
              <w:bottom w:w="0" w:type="dxa"/>
            </w:tcMar>
            <w:vAlign w:val="center"/>
          </w:tcPr>
          <w:p>
            <w:pPr>
              <w:pStyle w:val="TableContents"/>
              <w:bidi w:val="0"/>
              <w:spacing w:before="0" w:after="283"/>
              <w:jc w:val="left"/>
              <w:rPr>
                <w:sz w:val="4"/>
                <w:szCs w:val="4"/>
              </w:rPr>
            </w:pPr>
            <w:r>
              <w:rPr>
                <w:sz w:val="4"/>
                <w:szCs w:val="4"/>
              </w:rPr>
            </w:r>
          </w:p>
        </w:tc>
      </w:tr>
      <w:tr>
        <w:trPr/>
        <w:tc>
          <w:tcPr>
            <w:tcW w:w="2156" w:type="dxa"/>
            <w:gridSpan w:val="3"/>
            <w:vMerge w:val="restart"/>
            <w:tcBorders>
              <w:top w:val="single" w:sz="8" w:space="0" w:color="606060"/>
              <w:left w:val="single" w:sz="8" w:space="0" w:color="606060"/>
            </w:tcBorders>
            <w:shd w:fill="FFFFFF" w:val="clear"/>
            <w:tcMar>
              <w:top w:w="30" w:type="dxa"/>
              <w:bottom w:w="0" w:type="dxa"/>
              <w:right w:w="0" w:type="dxa"/>
            </w:tcMar>
            <w:vAlign w:val="center"/>
          </w:tcPr>
          <w:p>
            <w:pPr>
              <w:pStyle w:val="TableContents"/>
              <w:bidi w:val="0"/>
              <w:spacing w:lineRule="auto" w:line="240" w:before="0" w:after="0"/>
              <w:ind w:left="0" w:right="0" w:hanging="317"/>
              <w:jc w:val="left"/>
              <w:rPr>
                <w:rFonts w:ascii="Times New Roman;serif" w:hAnsi="Times New Roman;serif"/>
                <w:b w:val="false"/>
                <w:color w:val="000000"/>
                <w:sz w:val="20"/>
              </w:rPr>
            </w:pPr>
            <w:r>
              <w:rPr>
                <w:rFonts w:ascii="Times New Roman;serif" w:hAnsi="Times New Roman;serif"/>
                <w:b w:val="false"/>
                <w:color w:val="000000"/>
                <w:sz w:val="20"/>
              </w:rPr>
              <w:t>3.2026 Net Product Revenue</w:t>
            </w:r>
          </w:p>
        </w:tc>
        <w:tc>
          <w:tcPr>
            <w:tcW w:w="6414" w:type="dxa"/>
            <w:gridSpan w:val="3"/>
            <w:tcBorders>
              <w:top w:val="single" w:sz="8" w:space="0" w:color="606060"/>
              <w:left w:val="single" w:sz="8" w:space="0" w:color="606060"/>
            </w:tcBorders>
            <w:shd w:fill="FFFFFF" w:val="clear"/>
            <w:tcMar>
              <w:top w:w="3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Threshold:</w:t>
            </w:r>
          </w:p>
        </w:tc>
        <w:tc>
          <w:tcPr>
            <w:tcW w:w="1635" w:type="dxa"/>
            <w:gridSpan w:val="3"/>
            <w:tcBorders>
              <w:top w:val="single" w:sz="8" w:space="0" w:color="606060"/>
              <w:left w:val="single" w:sz="8" w:space="0" w:color="606060"/>
              <w:right w:val="single" w:sz="8" w:space="0" w:color="60606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r>
      <w:tr>
        <w:trPr/>
        <w:tc>
          <w:tcPr>
            <w:tcW w:w="2156" w:type="dxa"/>
            <w:gridSpan w:val="3"/>
            <w:vMerge w:val="continue"/>
            <w:tcBorders>
              <w:top w:val="single" w:sz="8" w:space="0" w:color="606060"/>
              <w:left w:val="single" w:sz="8" w:space="0" w:color="606060"/>
            </w:tcBorders>
            <w:shd w:fill="FFFFFF" w:val="clear"/>
            <w:tcMar>
              <w:top w:w="30" w:type="dxa"/>
              <w:bottom w:w="0" w:type="dxa"/>
              <w:right w:w="0" w:type="dxa"/>
            </w:tcMar>
            <w:vAlign w:val="center"/>
          </w:tcPr>
          <w:p>
            <w:pPr>
              <w:pStyle w:val="Normal"/>
              <w:bidi w:val="0"/>
              <w:jc w:val="left"/>
              <w:rPr/>
            </w:pPr>
            <w:r>
              <w:rPr/>
            </w:r>
          </w:p>
        </w:tc>
        <w:tc>
          <w:tcPr>
            <w:tcW w:w="6414" w:type="dxa"/>
            <w:gridSpan w:val="3"/>
            <w:tcBorders>
              <w:top w:val="single" w:sz="8" w:space="0" w:color="606060"/>
              <w:left w:val="single" w:sz="8" w:space="0" w:color="606060"/>
            </w:tcBorders>
            <w:shd w:fill="FFFFFF" w:val="clear"/>
            <w:tcMar>
              <w:top w:w="3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w:t>
            </w:r>
          </w:p>
        </w:tc>
        <w:tc>
          <w:tcPr>
            <w:tcW w:w="1635" w:type="dxa"/>
            <w:gridSpan w:val="3"/>
            <w:tcBorders>
              <w:top w:val="single" w:sz="8" w:space="0" w:color="606060"/>
              <w:left w:val="single" w:sz="8" w:space="0" w:color="606060"/>
              <w:right w:val="single" w:sz="8" w:space="0" w:color="60606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13.34%</w:t>
            </w:r>
          </w:p>
        </w:tc>
      </w:tr>
      <w:tr>
        <w:trPr/>
        <w:tc>
          <w:tcPr>
            <w:tcW w:w="2156" w:type="dxa"/>
            <w:gridSpan w:val="3"/>
            <w:vMerge w:val="continue"/>
            <w:tcBorders>
              <w:top w:val="single" w:sz="8" w:space="0" w:color="606060"/>
              <w:left w:val="single" w:sz="8" w:space="0" w:color="606060"/>
            </w:tcBorders>
            <w:shd w:fill="FFFFFF" w:val="clear"/>
            <w:tcMar>
              <w:top w:w="30" w:type="dxa"/>
              <w:bottom w:w="0" w:type="dxa"/>
              <w:right w:w="0" w:type="dxa"/>
            </w:tcMar>
            <w:vAlign w:val="center"/>
          </w:tcPr>
          <w:p>
            <w:pPr>
              <w:pStyle w:val="Normal"/>
              <w:bidi w:val="0"/>
              <w:jc w:val="left"/>
              <w:rPr/>
            </w:pPr>
            <w:r>
              <w:rPr/>
            </w:r>
          </w:p>
        </w:tc>
        <w:tc>
          <w:tcPr>
            <w:tcW w:w="6414" w:type="dxa"/>
            <w:gridSpan w:val="3"/>
            <w:tcBorders>
              <w:top w:val="single" w:sz="8" w:space="0" w:color="606060"/>
              <w:left w:val="single" w:sz="8" w:space="0" w:color="606060"/>
              <w:bottom w:val="single" w:sz="8" w:space="0" w:color="606060"/>
            </w:tcBorders>
            <w:shd w:fill="FFFFFF" w:val="clear"/>
            <w:tcMar>
              <w:top w:w="30" w:type="dxa"/>
              <w:left w:w="63"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w:t>
            </w:r>
          </w:p>
        </w:tc>
        <w:tc>
          <w:tcPr>
            <w:tcW w:w="1635" w:type="dxa"/>
            <w:gridSpan w:val="3"/>
            <w:tcBorders>
              <w:top w:val="single" w:sz="8" w:space="0" w:color="606060"/>
              <w:left w:val="single" w:sz="8" w:space="0" w:color="606060"/>
              <w:bottom w:val="single" w:sz="8" w:space="0" w:color="606060"/>
              <w:right w:val="single" w:sz="8" w:space="0" w:color="606060"/>
            </w:tcBorders>
            <w:shd w:fill="FFFF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26.68%</w:t>
            </w:r>
          </w:p>
        </w:tc>
      </w:tr>
      <w:tr>
        <w:trPr/>
        <w:tc>
          <w:tcPr>
            <w:tcW w:w="10205" w:type="dxa"/>
            <w:gridSpan w:val="9"/>
            <w:tcBorders>
              <w:top w:val="single" w:sz="8" w:space="0" w:color="606060"/>
              <w:left w:val="single" w:sz="8" w:space="0" w:color="606060"/>
              <w:right w:val="single" w:sz="8" w:space="0" w:color="606060"/>
            </w:tcBorders>
            <w:shd w:fill="FCE2D5" w:val="clear"/>
            <w:tcMar>
              <w:bottom w:w="0" w:type="dxa"/>
            </w:tcMar>
            <w:vAlign w:val="center"/>
          </w:tcPr>
          <w:p>
            <w:pPr>
              <w:pStyle w:val="TableContents"/>
              <w:bidi w:val="0"/>
              <w:spacing w:before="0" w:after="283"/>
              <w:jc w:val="left"/>
              <w:rPr>
                <w:sz w:val="4"/>
                <w:szCs w:val="4"/>
              </w:rPr>
            </w:pPr>
            <w:r>
              <w:rPr>
                <w:sz w:val="4"/>
                <w:szCs w:val="4"/>
              </w:rPr>
            </w:r>
          </w:p>
        </w:tc>
      </w:tr>
      <w:tr>
        <w:trPr/>
        <w:tc>
          <w:tcPr>
            <w:tcW w:w="2156" w:type="dxa"/>
            <w:gridSpan w:val="3"/>
            <w:tcBorders>
              <w:top w:val="single" w:sz="8" w:space="0" w:color="606060"/>
              <w:left w:val="single" w:sz="8" w:space="0" w:color="606060"/>
            </w:tcBorders>
            <w:shd w:fill="FFFFFF" w:val="clear"/>
            <w:tcMar>
              <w:top w:w="30" w:type="dxa"/>
              <w:bottom w:w="0" w:type="dxa"/>
              <w:right w:w="0" w:type="dxa"/>
            </w:tcMar>
            <w:vAlign w:val="center"/>
          </w:tcPr>
          <w:p>
            <w:pPr>
              <w:pStyle w:val="TableContents"/>
              <w:bidi w:val="0"/>
              <w:spacing w:lineRule="auto" w:line="240" w:before="0" w:after="0"/>
              <w:ind w:left="0" w:right="0" w:hanging="317"/>
              <w:jc w:val="left"/>
              <w:rPr>
                <w:rFonts w:ascii="Times New Roman;serif" w:hAnsi="Times New Roman;serif"/>
                <w:b w:val="false"/>
                <w:color w:val="000000"/>
                <w:sz w:val="20"/>
              </w:rPr>
            </w:pPr>
            <w:r>
              <w:rPr>
                <w:rFonts w:ascii="Times New Roman;serif" w:hAnsi="Times New Roman;serif"/>
                <w:b w:val="false"/>
                <w:color w:val="000000"/>
                <w:sz w:val="20"/>
              </w:rPr>
              <w:t>4.Hypothalamic Obesity Readout</w:t>
            </w:r>
          </w:p>
        </w:tc>
        <w:tc>
          <w:tcPr>
            <w:tcW w:w="6414" w:type="dxa"/>
            <w:gridSpan w:val="3"/>
            <w:tcBorders>
              <w:top w:val="single" w:sz="8" w:space="0" w:color="606060"/>
              <w:left w:val="single" w:sz="8" w:space="0" w:color="606060"/>
              <w:bottom w:val="single" w:sz="8" w:space="0" w:color="606060"/>
            </w:tcBorders>
            <w:shd w:fill="FFFFFF" w:val="clear"/>
            <w:tcMar>
              <w:top w:w="30" w:type="dxa"/>
              <w:left w:w="63"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Positive top line readout in hypothalamic obesity phase 3 clinical trial no later than June 30, 2025</w:t>
            </w:r>
          </w:p>
        </w:tc>
        <w:tc>
          <w:tcPr>
            <w:tcW w:w="1635" w:type="dxa"/>
            <w:gridSpan w:val="3"/>
            <w:tcBorders>
              <w:top w:val="single" w:sz="8" w:space="0" w:color="606060"/>
              <w:left w:val="single" w:sz="8" w:space="0" w:color="606060"/>
              <w:bottom w:val="single" w:sz="8" w:space="0" w:color="606060"/>
              <w:right w:val="single" w:sz="8" w:space="0" w:color="606060"/>
            </w:tcBorders>
            <w:shd w:fill="FFFF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r>
      <w:tr>
        <w:trPr/>
        <w:tc>
          <w:tcPr>
            <w:tcW w:w="10205" w:type="dxa"/>
            <w:gridSpan w:val="9"/>
            <w:tcBorders>
              <w:top w:val="single" w:sz="8" w:space="0" w:color="606060"/>
              <w:left w:val="single" w:sz="8" w:space="0" w:color="606060"/>
              <w:right w:val="single" w:sz="8" w:space="0" w:color="606060"/>
            </w:tcBorders>
            <w:shd w:fill="FCE2D5" w:val="clear"/>
            <w:tcMar>
              <w:bottom w:w="0" w:type="dxa"/>
            </w:tcMar>
            <w:vAlign w:val="center"/>
          </w:tcPr>
          <w:p>
            <w:pPr>
              <w:pStyle w:val="TableContents"/>
              <w:bidi w:val="0"/>
              <w:spacing w:before="0" w:after="283"/>
              <w:jc w:val="left"/>
              <w:rPr>
                <w:sz w:val="4"/>
                <w:szCs w:val="4"/>
              </w:rPr>
            </w:pPr>
            <w:r>
              <w:rPr>
                <w:sz w:val="4"/>
                <w:szCs w:val="4"/>
              </w:rPr>
            </w:r>
          </w:p>
        </w:tc>
      </w:tr>
      <w:tr>
        <w:trPr/>
        <w:tc>
          <w:tcPr>
            <w:tcW w:w="2156" w:type="dxa"/>
            <w:gridSpan w:val="3"/>
            <w:tcBorders>
              <w:top w:val="single" w:sz="8" w:space="0" w:color="606060"/>
              <w:left w:val="single" w:sz="8" w:space="0" w:color="606060"/>
            </w:tcBorders>
            <w:shd w:fill="FFFFFF" w:val="clear"/>
            <w:tcMar>
              <w:top w:w="30" w:type="dxa"/>
              <w:bottom w:w="0" w:type="dxa"/>
              <w:right w:w="0" w:type="dxa"/>
            </w:tcMar>
            <w:vAlign w:val="center"/>
          </w:tcPr>
          <w:p>
            <w:pPr>
              <w:pStyle w:val="TableContents"/>
              <w:bidi w:val="0"/>
              <w:spacing w:lineRule="auto" w:line="240" w:before="0" w:after="0"/>
              <w:ind w:left="0" w:right="0" w:hanging="317"/>
              <w:jc w:val="left"/>
              <w:rPr>
                <w:rFonts w:ascii="Times New Roman;serif" w:hAnsi="Times New Roman;serif"/>
                <w:b w:val="false"/>
                <w:color w:val="000000"/>
                <w:sz w:val="20"/>
              </w:rPr>
            </w:pPr>
            <w:r>
              <w:rPr>
                <w:rFonts w:ascii="Times New Roman;serif" w:hAnsi="Times New Roman;serif"/>
                <w:b w:val="false"/>
                <w:color w:val="000000"/>
                <w:sz w:val="20"/>
              </w:rPr>
              <w:t>5.Hypothalamic Obesity Approval</w:t>
            </w:r>
          </w:p>
        </w:tc>
        <w:tc>
          <w:tcPr>
            <w:tcW w:w="6414" w:type="dxa"/>
            <w:gridSpan w:val="3"/>
            <w:tcBorders>
              <w:top w:val="single" w:sz="8" w:space="0" w:color="606060"/>
              <w:left w:val="single" w:sz="8" w:space="0" w:color="606060"/>
              <w:bottom w:val="single" w:sz="8" w:space="0" w:color="606060"/>
            </w:tcBorders>
            <w:shd w:fill="FFFFFF" w:val="clear"/>
            <w:tcMar>
              <w:top w:w="30" w:type="dxa"/>
              <w:left w:w="63"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FDA approval for New Drug Application for Setmelanotide for the treatment of hypothalamic obesity no later than June 30, 2026</w:t>
            </w:r>
          </w:p>
        </w:tc>
        <w:tc>
          <w:tcPr>
            <w:tcW w:w="1635" w:type="dxa"/>
            <w:gridSpan w:val="3"/>
            <w:tcBorders>
              <w:top w:val="single" w:sz="8" w:space="0" w:color="606060"/>
              <w:left w:val="single" w:sz="8" w:space="0" w:color="606060"/>
              <w:bottom w:val="single" w:sz="8" w:space="0" w:color="606060"/>
              <w:right w:val="single" w:sz="8" w:space="0" w:color="606060"/>
            </w:tcBorders>
            <w:shd w:fill="FFFF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r>
      <w:tr>
        <w:trPr/>
        <w:tc>
          <w:tcPr>
            <w:tcW w:w="10205" w:type="dxa"/>
            <w:gridSpan w:val="9"/>
            <w:tcBorders>
              <w:top w:val="single" w:sz="8" w:space="0" w:color="606060"/>
              <w:left w:val="single" w:sz="8" w:space="0" w:color="606060"/>
              <w:right w:val="single" w:sz="8" w:space="0" w:color="606060"/>
            </w:tcBorders>
            <w:shd w:fill="FCE2D5" w:val="clear"/>
            <w:tcMar>
              <w:bottom w:w="0" w:type="dxa"/>
            </w:tcMar>
            <w:vAlign w:val="center"/>
          </w:tcPr>
          <w:p>
            <w:pPr>
              <w:pStyle w:val="TableContents"/>
              <w:bidi w:val="0"/>
              <w:spacing w:before="0" w:after="283"/>
              <w:jc w:val="left"/>
              <w:rPr>
                <w:sz w:val="4"/>
                <w:szCs w:val="4"/>
              </w:rPr>
            </w:pPr>
            <w:r>
              <w:rPr>
                <w:sz w:val="4"/>
                <w:szCs w:val="4"/>
              </w:rPr>
            </w:r>
          </w:p>
        </w:tc>
      </w:tr>
      <w:tr>
        <w:trPr/>
        <w:tc>
          <w:tcPr>
            <w:tcW w:w="2156" w:type="dxa"/>
            <w:gridSpan w:val="3"/>
            <w:vMerge w:val="restart"/>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ind w:left="0" w:right="0" w:hanging="317"/>
              <w:jc w:val="left"/>
              <w:rPr>
                <w:rFonts w:ascii="Times New Roman;serif" w:hAnsi="Times New Roman;serif"/>
                <w:b w:val="false"/>
                <w:color w:val="000000"/>
                <w:sz w:val="20"/>
              </w:rPr>
            </w:pPr>
            <w:r>
              <w:rPr>
                <w:rFonts w:ascii="Times New Roman;serif" w:hAnsi="Times New Roman;serif"/>
                <w:b w:val="false"/>
                <w:color w:val="000000"/>
                <w:sz w:val="20"/>
              </w:rPr>
              <w:t>6.Progress Next Generation Programs</w:t>
            </w:r>
          </w:p>
        </w:tc>
        <w:tc>
          <w:tcPr>
            <w:tcW w:w="6414" w:type="dxa"/>
            <w:gridSpan w:val="3"/>
            <w:tcBorders>
              <w:top w:val="single" w:sz="8" w:space="0" w:color="606060"/>
              <w:left w:val="single" w:sz="4" w:space="0" w:color="000000"/>
            </w:tcBorders>
            <w:shd w:fill="FFFFFF" w:val="clear"/>
            <w:tcMar>
              <w:top w:w="30" w:type="dxa"/>
              <w:left w:w="63"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Completion phase 1/2 RM-718 study no later than June 30, 2025</w:t>
            </w:r>
          </w:p>
        </w:tc>
        <w:tc>
          <w:tcPr>
            <w:tcW w:w="1635" w:type="dxa"/>
            <w:gridSpan w:val="3"/>
            <w:tcBorders>
              <w:top w:val="single" w:sz="8" w:space="0" w:color="606060"/>
              <w:left w:val="single" w:sz="8" w:space="0" w:color="606060"/>
              <w:right w:val="single" w:sz="8" w:space="0" w:color="60606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2156" w:type="dxa"/>
            <w:gridSpan w:val="3"/>
            <w:vMerge w:val="continue"/>
            <w:tcBorders>
              <w:top w:val="single" w:sz="4" w:space="0" w:color="000000"/>
              <w:left w:val="single" w:sz="4" w:space="0" w:color="000000"/>
            </w:tcBorders>
            <w:shd w:fill="FFFFFF" w:val="clear"/>
            <w:tcMar>
              <w:top w:w="30" w:type="dxa"/>
              <w:bottom w:w="0" w:type="dxa"/>
              <w:right w:w="0" w:type="dxa"/>
            </w:tcMar>
            <w:vAlign w:val="center"/>
          </w:tcPr>
          <w:p>
            <w:pPr>
              <w:pStyle w:val="Normal"/>
              <w:bidi w:val="0"/>
              <w:jc w:val="left"/>
              <w:rPr/>
            </w:pPr>
            <w:r>
              <w:rPr/>
            </w:r>
          </w:p>
        </w:tc>
        <w:tc>
          <w:tcPr>
            <w:tcW w:w="6414" w:type="dxa"/>
            <w:gridSpan w:val="3"/>
            <w:tcBorders>
              <w:top w:val="single" w:sz="4" w:space="0" w:color="000000"/>
              <w:left w:val="single" w:sz="4" w:space="0" w:color="000000"/>
            </w:tcBorders>
            <w:shd w:fill="FFFFFF" w:val="clear"/>
            <w:tcMar>
              <w:top w:w="30" w:type="dxa"/>
              <w:left w:w="63"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Completion of phase 2 LB54640 hypothalamic obesity study no later than June 30, 2025</w:t>
            </w:r>
          </w:p>
        </w:tc>
        <w:tc>
          <w:tcPr>
            <w:tcW w:w="163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21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left w:val="single" w:sz="4" w:space="0" w:color="000000"/>
              <w:bottom w:val="single" w:sz="8" w:space="0" w:color="606060"/>
              <w:right w:val="single" w:sz="4" w:space="0" w:color="000000"/>
            </w:tcBorders>
            <w:shd w:fill="FFFFFF" w:val="clear"/>
            <w:tcMar>
              <w:top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606060"/>
              <w:left w:val="single" w:sz="4" w:space="0" w:color="000000"/>
              <w:bottom w:val="single" w:sz="4" w:space="0" w:color="000000"/>
              <w:right w:val="single" w:sz="4" w:space="0" w:color="000000"/>
            </w:tcBorders>
            <w:shd w:fill="97DCF4"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the Compensation &amp; Management Development Committee approved the PSU awards in April 2024, it elected to defer finalization of the 2025 Net Product Revenue and 2026 Net Product Revenue milestones. As a result and consistent with Financial Accounting Standards Codification Topic 718 (“ASC Topic 718”), a portion of the PSU awards was deemed for accounting purposes to have been granted in February 2025 when the 2025 Net Product Revenue milestones were established. The table below provides the target number of PSUs deemed granted to each of our NEOs.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51485"/>
                <wp:effectExtent l="0" t="0" r="0" b="0"/>
                <wp:wrapNone/>
                <wp:docPr id="47" name="Frame4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536"/>
        <w:gridCol w:w="335"/>
        <w:gridCol w:w="316"/>
        <w:gridCol w:w="109"/>
        <w:gridCol w:w="109"/>
        <w:gridCol w:w="109"/>
        <w:gridCol w:w="669"/>
        <w:gridCol w:w="669"/>
        <w:gridCol w:w="671"/>
        <w:gridCol w:w="694"/>
        <w:gridCol w:w="694"/>
        <w:gridCol w:w="696"/>
        <w:gridCol w:w="801"/>
        <w:gridCol w:w="801"/>
        <w:gridCol w:w="803"/>
        <w:gridCol w:w="641"/>
        <w:gridCol w:w="641"/>
        <w:gridCol w:w="911"/>
      </w:tblGrid>
      <w:tr>
        <w:trPr/>
        <w:tc>
          <w:tcPr>
            <w:tcW w:w="5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Target Performance Units from FY 2024 Award</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 Target Performance Units Granted in FY2024</w:t>
            </w:r>
          </w:p>
        </w:tc>
        <w:tc>
          <w:tcPr>
            <w:tcW w:w="2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 Target Performance Units related to FY25 Revenue Goal(1)</w:t>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Target Performance Units related to FY26 Revenue Goal(2)</w:t>
            </w:r>
          </w:p>
        </w:tc>
      </w:tr>
      <w:tr>
        <w:trPr/>
        <w:tc>
          <w:tcPr>
            <w:tcW w:w="118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P. Meeker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36,665</w:t>
            </w:r>
          </w:p>
        </w:tc>
        <w:tc>
          <w:tcPr>
            <w:tcW w:w="2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6,665</w:t>
            </w:r>
          </w:p>
        </w:tc>
        <w:tc>
          <w:tcPr>
            <w:tcW w:w="21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6,670</w:t>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Hunter C. Smith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29,332</w:t>
            </w:r>
          </w:p>
        </w:tc>
        <w:tc>
          <w:tcPr>
            <w:tcW w:w="2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5,332</w:t>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5,336</w:t>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Lee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29,332</w:t>
            </w:r>
          </w:p>
        </w:tc>
        <w:tc>
          <w:tcPr>
            <w:tcW w:w="2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5,332</w:t>
            </w:r>
          </w:p>
        </w:tc>
        <w:tc>
          <w:tcPr>
            <w:tcW w:w="21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5,336</w:t>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Yann Mazabraud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29,332</w:t>
            </w:r>
          </w:p>
        </w:tc>
        <w:tc>
          <w:tcPr>
            <w:tcW w:w="2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5,332</w:t>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5,336</w:t>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Alastair Garfield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29,332</w:t>
            </w:r>
          </w:p>
        </w:tc>
        <w:tc>
          <w:tcPr>
            <w:tcW w:w="2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5,332</w:t>
            </w:r>
          </w:p>
        </w:tc>
        <w:tc>
          <w:tcPr>
            <w:tcW w:w="21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5,336</w:t>
            </w:r>
          </w:p>
        </w:tc>
      </w:tr>
    </w:tbl>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(1)Represents the target number of PSU awards that, consistent with ASC 718, were deemed granted in February 2025 when the 2025 Net Product Revenue milestones were established.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(2)Represents the target number of PSU awards that, consistent with ASC 718, are expected to be deemed granted upon achievement of the 2026 Net Product Revenue target approved in February 2026 by the Board of Directors.</w:t>
      </w:r>
    </w:p>
    <w:p>
      <w:pPr>
        <w:pStyle w:val="TextBody"/>
        <w:bidi w:val="0"/>
        <w:spacing w:lineRule="auto" w:line="268" w:before="0" w:after="240"/>
        <w:ind w:left="0" w:right="0" w:firstLine="720"/>
        <w:jc w:val="left"/>
        <w:rPr/>
      </w:pPr>
      <w:r>
        <w:rPr>
          <w:rFonts w:ascii="Times New Roman;serif" w:hAnsi="Times New Roman;serif"/>
          <w:b w:val="false"/>
          <w:color w:val="000000"/>
          <w:sz w:val="20"/>
        </w:rPr>
        <w:t>In February 2025, the Board reviewed the Company’s achievement against the 2024 Net Product Revenue milestone of $110 million. Based on actual 2024 net product revenue of $130.1 million, the Compensation &amp; Management Development Committee recommended and the Board approved an achievement level of 121.9% of target, resulting in an achievement percentage of 16.25% for the 2024 Net Product Revenue Milestone (versus the target weight of 13.3%). In February 2026, the Board reviewed the Company’s achievement against the 2025 Net Product Revenue milestone of $185 million. Based on actual 2025 net product revenue of $191.0 million (at constant currency), the Compensation &amp; Management Development Committee recommended and the Board approved an achievement level of 110.7% of target, resulting in a weighted achievement percen</w:t>
      </w:r>
      <w:r>
        <w:rPr>
          <w:rFonts w:ascii="Times New Roman;serif" w:hAnsi="Times New Roman;serif"/>
          <w:b w:val="false"/>
          <w:color w:val="000000"/>
          <w:sz w:val="20"/>
          <w:shd w:fill="FFFFFF" w:val="clear"/>
        </w:rPr>
        <w:t xml:space="preserve">tage of 14.8% for the 2025 </w:t>
      </w:r>
      <w:r>
        <w:rPr>
          <w:rFonts w:ascii="Times New Roman;serif" w:hAnsi="Times New Roman;serif"/>
          <w:b w:val="false"/>
          <w:color w:val="000000"/>
          <w:sz w:val="20"/>
        </w:rPr>
        <w:t>Net Product Revenue Milestone (versus the target weight of 13.3%). Based on stockholder feedback, the Compensation &amp; Management Development Committee will evaluate whether to grant additional performance-based equity awards as part of the annual long-term incentive program following completion of the performance period for the special 2024 PSUs.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Retirement Savings, Health and Welfare Benefits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maintain a 401(k) retirement savings plan for our U.S. employees, including our NEOs, who satisfy certain eligibility requirements. Our NEOs are eligible to participate in the 401(k) plan on the same terms as other full-time employees. The Internal Revenue Code (the “Code”) allows eligible employees to defer a portion of their compensation, within prescribed limits, on a pre-tax basis through contributions to the 401(k) plan. Currently, we match contributions made by participants in the 401(k) plan up to a specified percentage of the employee contributions, and these matching contributions are fully vested as of the date on which the contribution is made. We believe that providing a vehicle for tax-deferred retirement savings through our 401(k) plan, and making fully vested matching contributions, adds to the overall desirability of our executive compensation package and further incentivizes our employees, including our NEOs, in accordance with our compensation policies. Our non-US employees, including NEOs based outside of the United States, participate in similar local country pension schemes and benefits packages.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Employee Benefits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 of our full-time employees, including our NEOs, are eligible to participate in our health and welfare plans, including medical, dental and vision benefits, medical and dependent care flexible spending accounts, short-term and long-term disability insurance, and life insurance. U.S. employees also have the option to participate in our Employee Stock Purchase Plan which allows for discounted purchase of Rhythm stock. We believe the benefits described above are necessary and appropriate to provide a competitive compensation package to our named executive officers.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his employment agreement, Mr. Mazabraud is entitled to an annual allowance of €8,000 to compensate him for expenses incurred while working remotely. We do not generally provide any tax “gross ups” to our named executive officers.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Severance and Change in Control Arrangements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are party to employment letter agreements with each of our NEOs. The employment letter agreements for our NEOs that are based in the United States provide for severance benefits and payments upon a termination without cause or for good reason, whereas Mr. Mazabraud’s employment letter agreement provides for a three-month notice period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51485"/>
                <wp:effectExtent l="0" t="0" r="0" b="0"/>
                <wp:wrapNone/>
                <wp:docPr id="48" name="Frame4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pPr>
      <w:r>
        <w:rPr>
          <w:rFonts w:ascii="Times New Roman;serif" w:hAnsi="Times New Roman;serif"/>
          <w:b w:val="false"/>
          <w:color w:val="000000"/>
          <w:sz w:val="20"/>
        </w:rPr>
        <w:t>event of a termination of his employment other than a termination due to serious or gross misconduct plus severance benefits and payments per French law and mandatory industry-wide collective bargaining agreement provisions for the pharmaceutical industry in France. Our Compensation &amp; Management Development Committee believes that these types of arrangements are necessary to attract and retain executive talent and are a customary component of executive compensation. In particular, such arrangements can mitigate a potential disincentive for our NEOs when they are evaluating a potential acquisition of the Company and can encourage retention through the conclusion of the transaction. The payments and benefits provided under our severance and change in control arrangements are designed to be competitive with market practices. A description of these arrangements, as well as information on the estimated payments and benefits that our NEOs would have been eligible to receive as of December 31, 2025, are set forth in “</w:t>
      </w:r>
      <w:r>
        <w:rPr>
          <w:rFonts w:ascii="Times New Roman;serif" w:hAnsi="Times New Roman;serif"/>
          <w:b w:val="false"/>
          <w:i/>
          <w:color w:val="000000"/>
          <w:sz w:val="20"/>
        </w:rPr>
        <w:t>Potential Payments Upon Termination or Change in Control</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0"/>
        <w:jc w:val="left"/>
        <w:rPr/>
      </w:pPr>
      <w:r>
        <w:rPr>
          <w:rFonts w:ascii="Times New Roman;serif" w:hAnsi="Times New Roman;serif"/>
          <w:b w:val="false"/>
          <w:i/>
          <w:color w:val="000000"/>
          <w:sz w:val="24"/>
        </w:rPr>
        <w:t>R</w:t>
      </w:r>
      <w:r>
        <w:rPr>
          <w:rFonts w:ascii="Times New Roman;serif" w:hAnsi="Times New Roman;serif"/>
          <w:b/>
          <w:i/>
          <w:color w:val="000000"/>
          <w:sz w:val="20"/>
        </w:rPr>
        <w:t>hythm Non-Qualified Deferred Compensation Plan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January 2026, Rhythm implemented a Non-Qualified Deferred Compensation Plan (NQDCP) for executives in order to attract and retain key employees. Under the NQDCP, participating executive employees have the opportunity to defer receipt of a portion of their salary, bonus, and other specified compensation, including equity awards.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Other Policies and Considerations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Section 409A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&amp; Management Development Committee takes into account whether components of the compensation for our executive officers will be adversely impacted by the penalty tax imposed by Section 409A of the Code, and aims to structure these components to be compliant with or exempt from Section 409A to avoid such potential adverse tax consequences. </w:t>
      </w:r>
    </w:p>
    <w:p>
      <w:pPr>
        <w:pStyle w:val="TextBody"/>
        <w:bidi w:val="0"/>
        <w:spacing w:lineRule="auto" w:line="288" w:before="0" w:after="240"/>
        <w:jc w:val="left"/>
        <w:rPr>
          <w:color w:val="000000"/>
        </w:rPr>
      </w:pPr>
      <w:r>
        <w:rPr>
          <w:color w:val="000000"/>
        </w:rPr>
        <w:t>“</w:t>
      </w:r>
      <w:r>
        <w:rPr>
          <w:rFonts w:ascii="Times New Roman;serif" w:hAnsi="Times New Roman;serif"/>
          <w:b/>
          <w:i/>
          <w:color w:val="000000"/>
          <w:sz w:val="20"/>
        </w:rPr>
        <w:t>Golden Parachute” Payments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Sections 280G and 4999 of the Code provide that certain executive officers and other service providers who are highly compensated or hold significant equity interests may be subject to an excise tax if they receive payments or benefits in connection with a change in control of the Company that exceeds certain prescribed limits, and that we, or a successor, may forfeit a tax deduction on the amounts subject to this additional tax. While the Compensation &amp; Management Development Committee may take the potential forfeiture of such tax deduction into account when making compensation decisions, it will award compensation that it determines to be consistent with the goals of our executive compensation program even if such compensation is not deductible by us. We do not provide any tax gross-ups to cover excise taxes under Section 4999 in connection with a change in control.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Accounting for Share-Based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follow ASC Topic 718, for our share-based compensation awards. ASC Topic 718 requires companies to measure the compensation expense for all share-based payment awards made to employees and directors, including stock options and RSUs, based on the grant date “fair value” of these awards. This calculation is performed for accounting purposes and reported in the compensation tables below, even though our NEOs may never realize any value from their awards.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Clawback Policy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Board has adopted a Policy for Recovery of Erroneously Awarded Compensation (the “Clawback Policy”), in accordance with the Nasdaq listing standards and Rule 10D-1 under the Exchange Act, which applies to our current and former executive officers. Under the Clawback Policy, we are required to recoup the amount of any Erroneously Awarded Compensation (as defined in the Clawback Policy) on a pre-tax basis within a specified lookback period in the event of any accounting Restatement (as defined in the Clawback Policy), subject to limited impracticability exceptions. Covered restatements include both a restatement to correct an error that is material to previously issued financial statements or that would result in a material misstatement if the error were corrected in the current period or left uncorrected in the current period. The amount required to be recovered is the excess of the amount of incentive-based compensation received over the amount that otherwise would have been received had it been determined based on the restated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51485"/>
                <wp:effectExtent l="0" t="0" r="0" b="0"/>
                <wp:wrapNone/>
                <wp:docPr id="49" name="Frame4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 Ownership Policy</w:t>
      </w:r>
    </w:p>
    <w:p>
      <w:pPr>
        <w:pStyle w:val="TextBody"/>
        <w:bidi w:val="0"/>
        <w:spacing w:lineRule="auto" w:line="288" w:before="0" w:after="40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2024, our Board adopted a Stock Ownership Policy (the “Stock Ownership Policy”), which applies to our current directors and executive officers (“Participants”). Under the Stock Ownership Policy, each Participant is required to maintain beneficial ownership of a number of shares of Common Stock with a value equal to specified multiples during his or her tenure at the Company, which are: 3x annual base salary for our Chief Executive Officer; 1x annual base salary for other executive officers; and 3x annual cash retainer (not including committee membership, lead director or non-executive chair retainers) for directors.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the Stock Ownership Policy, shares of Common Stock that count toward satisfaction of the minimum ownership requirement include (a) issued and outstanding shares of Common Stock that are not subject to transfer or other restrictions, in any case whether (i) held directly by the individual or his or her immediate family members residing in the same household; (ii) held in a grantor trust for the benefit of the individual or his or her immediate family members residing in the same household; or (iii) owned by a partnership, limited liability company or other entity to the extent of the individual’s interest therein (or the interest therein of his or her immediate family members residing in the same household), but only if the individual has or shares powers to vote or dispose of the shares; and (b) shares of restricted Common Stock and shares of Common Stock subject to outstanding restricted stock unit awards, in each case that vest solely based on the passage of time.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will not count toward satisfaction of the minimum ownership requirement: (x) shares of Common Stock subject to outstanding and unexercised stock options or warrants, whether vested or unvested and whether exercisable or unexercisable; (y) performance-based vesting restricted Common Stock and restricted stock unit awards or other performance-based incentive awards to the extent applicable performance goals have not been achieved; and (z) all other forms of derivative securities.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Stock Ownership Policy, directors and executive officers subject to the Stock Ownership Policy have five years to come into compliance with the policy. As of April 27, 2026, all Participants were in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51485"/>
                <wp:effectExtent l="0" t="0" r="0" b="0"/>
                <wp:wrapNone/>
                <wp:docPr id="50" name="Frame4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COMPENSATION &amp; MANAGEMENT DEVELOPMENT COMMITTEE REPORT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has reviewed and discussed with management the Compensation Discussion and Analysis set forth above. Based on such review and discussions, the compensation committee has recommended to the board of directors that the Compensation Discussion and Analysis be included in this proxy statement and, through incorporation by reference, in the Annual Report on Form 10-K for the year ended December 31, 2025, filed by us with the SEC.</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report of the compensation committee is not “soliciting material,” shall not be deemed “filed” with the SEC and shall not be incorporated by reference by any general statement incorporating by reference this proxy statement into any filing under the Securities Act of 1933, as amended, or the Securities Exchange Act of 1934, as amended, whether made before or after the date hereof and irrespective of any general incorporation language in any such filing, except to the extent that we specifically incorporate this information by reference, and shall not otherwise be deemed filed under such acts.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foregoing report has been furnished by the compensation committee.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Respectfully submitted,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Compensation &amp; Management Development Committee of the Board of Directors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Lynn A. Tetrault, J.D. (Chairperson)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Stuart A. Arbuckle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Kimberly J. Popovits</w:t>
      </w:r>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51485"/>
                <wp:effectExtent l="0" t="0" r="0" b="0"/>
                <wp:wrapNone/>
                <wp:docPr id="51" name="Frame4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EXECUTIVE COMPENSATION TABLES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2025 Summary Compensation Table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contains information about the compensation earned by each of our NEOs during the fiscal years indicated. </w:t>
      </w:r>
    </w:p>
    <w:tbl>
      <w:tblPr>
        <w:tblW w:w="11101" w:type="dxa"/>
        <w:jc w:val="left"/>
        <w:tblInd w:w="0" w:type="dxa"/>
        <w:tblLayout w:type="fixed"/>
        <w:tblCellMar>
          <w:top w:w="28" w:type="dxa"/>
          <w:left w:w="28" w:type="dxa"/>
          <w:bottom w:w="28" w:type="dxa"/>
          <w:right w:w="28" w:type="dxa"/>
        </w:tblCellMar>
      </w:tblPr>
      <w:tblGrid>
        <w:gridCol w:w="718"/>
        <w:gridCol w:w="248"/>
        <w:gridCol w:w="250"/>
        <w:gridCol w:w="109"/>
        <w:gridCol w:w="109"/>
        <w:gridCol w:w="109"/>
        <w:gridCol w:w="174"/>
        <w:gridCol w:w="174"/>
        <w:gridCol w:w="178"/>
        <w:gridCol w:w="109"/>
        <w:gridCol w:w="109"/>
        <w:gridCol w:w="109"/>
        <w:gridCol w:w="413"/>
        <w:gridCol w:w="413"/>
        <w:gridCol w:w="196"/>
        <w:gridCol w:w="109"/>
        <w:gridCol w:w="109"/>
        <w:gridCol w:w="109"/>
        <w:gridCol w:w="488"/>
        <w:gridCol w:w="488"/>
        <w:gridCol w:w="221"/>
        <w:gridCol w:w="109"/>
        <w:gridCol w:w="109"/>
        <w:gridCol w:w="109"/>
        <w:gridCol w:w="488"/>
        <w:gridCol w:w="488"/>
        <w:gridCol w:w="221"/>
        <w:gridCol w:w="109"/>
        <w:gridCol w:w="109"/>
        <w:gridCol w:w="109"/>
        <w:gridCol w:w="413"/>
        <w:gridCol w:w="413"/>
        <w:gridCol w:w="381"/>
        <w:gridCol w:w="109"/>
        <w:gridCol w:w="109"/>
        <w:gridCol w:w="109"/>
        <w:gridCol w:w="380"/>
        <w:gridCol w:w="380"/>
        <w:gridCol w:w="381"/>
        <w:gridCol w:w="109"/>
        <w:gridCol w:w="109"/>
        <w:gridCol w:w="109"/>
        <w:gridCol w:w="540"/>
        <w:gridCol w:w="541"/>
        <w:gridCol w:w="225"/>
      </w:tblGrid>
      <w:tr>
        <w:trPr/>
        <w:tc>
          <w:tcPr>
            <w:tcW w:w="71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 and Principal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Salary</w:t>
              <w:b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w:t>
              <w:br/>
              <w:t>Awards</w:t>
              <w:b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Option</w:t>
              <w:br/>
              <w:t>Awards</w:t>
              <w:b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Non-Equity</w:t>
              <w:br/>
              <w:t>Incentive</w:t>
              <w:br/>
              <w:t>Plan</w:t>
              <w:br/>
              <w:t>Compensation</w:t>
              <w:b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All Other</w:t>
              <w:br/>
              <w:t>Compensation</w:t>
              <w:b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P. Meeker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807,692 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8,274,785 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7,688,560 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759,488 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17,544,525 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Executive Officer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740,472 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4,382,955 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8,784,115 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744,135 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12,065 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14,663,742 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704,715 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1,545,275 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4,334,521 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634,053 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7,230,457 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Hunter C. Smith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540,477 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2,933,277 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2,402,675 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6,228,429 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Financial Officer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499,385 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1,458,419 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2,726,806 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5,050,410 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476,154 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538,795 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1,011,892 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20,166 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2,308,007 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Lee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531,635 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2,649,827 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2,114,354 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5,602,816 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488,266 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1,241,807 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2,272,339 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4,318,212 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Head of North America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464,731 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493,668 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885,405 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16,406 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2,106,210 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Yann Mazabraud(5)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557,231 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2,839,739 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2,306,568 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344,659 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70,258 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6,118,455 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467,224 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1,999,709 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2,272,339 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297,075 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58,923 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5,095,270 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Head of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448,848 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805,100 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238,688 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51,621 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1,544,257 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Alastair Garfield</w:t>
            </w:r>
          </w:p>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Scientific Officer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505,385 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2,082,927 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1,537,712 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4,427,024 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68" w:before="0" w:after="0"/>
        <w:ind w:left="0" w:right="0" w:hanging="360"/>
        <w:jc w:val="left"/>
        <w:rPr/>
      </w:pPr>
      <w:r>
        <w:rPr>
          <w:rFonts w:ascii="Times New Roman;serif" w:hAnsi="Times New Roman;serif"/>
          <w:b w:val="false"/>
          <w:color w:val="000000"/>
          <w:sz w:val="24"/>
        </w:rPr>
        <w:t>(1)</w:t>
      </w:r>
      <w:r>
        <w:rPr>
          <w:rFonts w:ascii="Times New Roman;serif" w:hAnsi="Times New Roman;serif"/>
          <w:b w:val="false"/>
          <w:color w:val="000000"/>
          <w:sz w:val="20"/>
        </w:rPr>
        <w:t>Amounts reflect the full grant-date fair value of stock awards granted during fiscal 2025 computed in accordance with ASC Topic 718, rather than the amounts paid to or realized by the named individual. We provide information regarding the assumptions used to calculate the value of all stock awards made to our NEOs in Note 8 to the consolidated financial statements included in our Annual Report on Form 10-K for the year ended December 31, 2025. The amounts shown in the table also include the portion of PSUs granted in 2024 that vest based on achievement of 2025 Net Product Revenue milestones that were established at the beginning of 2025. Consistent with ASC Topic 718, those PSUs were deemed for accounting purposes to have been granted in February 2025 when the milestones were established. As required pursuant to SEC disclosure rules, the grant-date fair values of the PSUs were computed based on the probable outcomes of the performance conditions as of the grant date. Assuming maximum achievement of the performance conditions, the value of the PSUs as of the grant date is $755,678 for Dr. Meeker, and $604,542 for Mr. Smith, Ms. Lee, Mr. Mazabraud, and Mr. Garfield.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(2)Amounts reflect the full grant-date fair value of stock options granted during fiscal 2025 computed in accordance with ASC Topic 718, rather than the amounts paid to or realized by the named individual. We provide information regarding the assumptions used to calculate the value of all stock options granted to our NEOs in Note 8 to the consolidated financial statements included in our Annual Report on Form 10-K for the year ended December 31, 2025.</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(3)Amounts for fiscal 2025 represent payments earned by our NEOs based upon the achievement of certain company and individual performance objectives for fiscal 2025. Please see the description of the annual bonus program under “Cash Incentive Compensation” in the CD&amp;A above.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(4)Other than for Mr. Mazabraud, amounts for fiscal 2025 represent employer matching contributions to our 401(k) plan.</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(5)Amounts for 2025 shown for Mr. Mazabraud have been converted from Euros to U.S. dollars based on an exchange rate of 1.17631 as of December 31, 2025.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(6)Amount includes the aggregate amount of payments made in respect of Mr. Mazabraud’s work-from-home allowance of $9,411 and employer contributions to statutory pension on his behalf of $60,847.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51485"/>
                <wp:effectExtent l="0" t="0" r="0" b="0"/>
                <wp:wrapNone/>
                <wp:docPr id="52" name="Frame4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(7)The amounts shown in the “All Other Compensation” column for fiscal years 2024 and 2023, and the corresponding “Total” columns for Mr. Mazabraud for such years, have been updated to reflect the removal of non-compensatory social insurance contributions in the amount of $526,353 in 2024 and $197,752 in 2023.</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Grants of Plan-Based Awards in Fiscal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supplemental information relating to grants of plan-based awards made during fiscal 2025 to help explain information provided above in our Summary Compensation Table. This table presents information regarding all grants of plan-based awards occurring during fiscal year 2025.</w:t>
      </w:r>
    </w:p>
    <w:tbl>
      <w:tblPr>
        <w:tblW w:w="13709" w:type="dxa"/>
        <w:jc w:val="left"/>
        <w:tblInd w:w="0" w:type="dxa"/>
        <w:tblLayout w:type="fixed"/>
        <w:tblCellMar>
          <w:top w:w="28" w:type="dxa"/>
          <w:left w:w="28" w:type="dxa"/>
          <w:bottom w:w="28" w:type="dxa"/>
          <w:right w:w="28" w:type="dxa"/>
        </w:tblCellMar>
      </w:tblPr>
      <w:tblGrid>
        <w:gridCol w:w="380"/>
        <w:gridCol w:w="198"/>
        <w:gridCol w:w="173"/>
        <w:gridCol w:w="325"/>
        <w:gridCol w:w="325"/>
        <w:gridCol w:w="326"/>
        <w:gridCol w:w="109"/>
        <w:gridCol w:w="109"/>
        <w:gridCol w:w="109"/>
        <w:gridCol w:w="300"/>
        <w:gridCol w:w="300"/>
        <w:gridCol w:w="301"/>
        <w:gridCol w:w="109"/>
        <w:gridCol w:w="109"/>
        <w:gridCol w:w="109"/>
        <w:gridCol w:w="308"/>
        <w:gridCol w:w="308"/>
        <w:gridCol w:w="291"/>
        <w:gridCol w:w="109"/>
        <w:gridCol w:w="109"/>
        <w:gridCol w:w="109"/>
        <w:gridCol w:w="316"/>
        <w:gridCol w:w="300"/>
        <w:gridCol w:w="301"/>
        <w:gridCol w:w="109"/>
        <w:gridCol w:w="109"/>
        <w:gridCol w:w="109"/>
        <w:gridCol w:w="300"/>
        <w:gridCol w:w="300"/>
        <w:gridCol w:w="301"/>
        <w:gridCol w:w="109"/>
        <w:gridCol w:w="109"/>
        <w:gridCol w:w="109"/>
        <w:gridCol w:w="205"/>
        <w:gridCol w:w="205"/>
        <w:gridCol w:w="206"/>
        <w:gridCol w:w="109"/>
        <w:gridCol w:w="109"/>
        <w:gridCol w:w="109"/>
        <w:gridCol w:w="300"/>
        <w:gridCol w:w="300"/>
        <w:gridCol w:w="301"/>
        <w:gridCol w:w="109"/>
        <w:gridCol w:w="109"/>
        <w:gridCol w:w="109"/>
        <w:gridCol w:w="260"/>
        <w:gridCol w:w="260"/>
        <w:gridCol w:w="261"/>
        <w:gridCol w:w="109"/>
        <w:gridCol w:w="109"/>
        <w:gridCol w:w="109"/>
        <w:gridCol w:w="325"/>
        <w:gridCol w:w="325"/>
        <w:gridCol w:w="326"/>
        <w:gridCol w:w="109"/>
        <w:gridCol w:w="109"/>
        <w:gridCol w:w="109"/>
        <w:gridCol w:w="181"/>
        <w:gridCol w:w="466"/>
        <w:gridCol w:w="109"/>
        <w:gridCol w:w="109"/>
        <w:gridCol w:w="109"/>
        <w:gridCol w:w="109"/>
        <w:gridCol w:w="181"/>
        <w:gridCol w:w="721"/>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Estimated Future Payouts</w:t>
              <w:br/>
              <w:t>Under Non-Equity Incentive</w:t>
              <w:br/>
              <w:t>Plan Awards(1)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Estimated Future Payouts Under</w:t>
              <w:br/>
              <w:t>Equity Incentive Plan Awards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All Other</w:t>
              <w:br/>
              <w:t>Stock Awards:</w:t>
              <w:br/>
              <w:t>Number of</w:t>
              <w:br/>
              <w:t>Shares of</w:t>
              <w:br/>
              <w:t>Stock or</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All Other</w:t>
              <w:br/>
              <w:t>Option</w:t>
              <w:br/>
              <w:t>Awards:</w:t>
              <w:br/>
              <w:t>Number of</w:t>
              <w:br/>
              <w:t>Securities</w:t>
              <w:br/>
              <w:t>Underlying</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Exercise or</w:t>
              <w:br/>
              <w:t>Base Price of</w:t>
              <w:br/>
              <w:t>Option</w:t>
              <w:br/>
              <w:t>Awards</w:t>
              <w:br/>
              <w:t>($/Sh)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Grant Date</w:t>
              <w:br/>
              <w:t>Fair Value of</w:t>
              <w:br/>
              <w:t>Stock and</w:t>
              <w:br/>
              <w:t>Option</w:t>
              <w:br/>
              <w:t>Awards ($) (3)</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Grant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Threshold ($)</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Target ($)</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Maximum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Threshold (#)</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Target (#)</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Maximum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David P. Meeker</w:t>
            </w:r>
          </w:p>
        </w:tc>
        <w:tc>
          <w:tcPr>
            <w:tcW w:w="65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588,750 </w:t>
            </w:r>
          </w:p>
        </w:tc>
        <w:tc>
          <w:tcPr>
            <w:tcW w:w="29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963,195 </w:t>
            </w:r>
          </w:p>
        </w:tc>
        <w:tc>
          <w:tcPr>
            <w:tcW w:w="30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7,688,560 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7,559,612 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715,173 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Hunter C. Smith</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262,100 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428,796 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2,402,675 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2,361,139 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572,139 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Jennifer Lee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232,425 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380,247 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2,114,354 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2,077,689 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572,139 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Yann Mazabraud</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252,760 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413,515 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2,306,568 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2,267,600 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572,139 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Alastair Garfield</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222,750 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364,419 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1,537,712 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1,510,789 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572,139 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(1)Amounts reflect potential payouts under our 2025 annual bonus program. The target amount is based on a percentage of the individual’s fiscal year 2025 base salary. Please see the description of the annual bonus program under “Cash Incentive Compensation” in the CD&amp;A above. The maximum amount reflects the maximum corporate achievement opportunity of 148% for 2025 for the corporate achievement component and assumes a 200% cap on the individual achievement component.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(2)PSUs are eligible to vest upon the achievement of financial, commercial and strategic performance goals and are reflected in the table based on the probable outcomes of the performance conditions as of the grant date.</w:t>
      </w:r>
    </w:p>
    <w:p>
      <w:pPr>
        <w:pStyle w:val="TextBody"/>
        <w:bidi w:val="0"/>
        <w:spacing w:lineRule="auto" w:line="288" w:before="0" w:after="0"/>
        <w:ind w:left="0" w:right="0" w:hanging="360"/>
        <w:jc w:val="left"/>
        <w:rPr/>
      </w:pPr>
      <w:r>
        <w:rPr>
          <w:rFonts w:ascii="Arial;sans-serif" w:hAnsi="Arial;sans-serif"/>
          <w:b w:val="false"/>
          <w:color w:val="000000"/>
          <w:sz w:val="20"/>
        </w:rPr>
        <w:t>(3)</w:t>
      </w:r>
      <w:r>
        <w:rPr>
          <w:rFonts w:ascii="Times New Roman;serif" w:hAnsi="Times New Roman;serif"/>
          <w:b w:val="false"/>
          <w:color w:val="000000"/>
          <w:sz w:val="20"/>
        </w:rPr>
        <w:t xml:space="preserve">Amounts reflect the full grant-date fair value of stock options, RSUs and PSUs granted during fiscal year 2025 computed in accordance with ASC Topic 718, rather than the amounts paid to or realized by the named individual. We provide information regarding the assumptions used to calculate the value of all stock awards made to our NEOs in Note 8 to the consolidated financial statements included in our Annual Report on Form 10-K for the year ended December 31, 2025. When the Compensation &amp; Management Development Committee approved the PSU awards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51485"/>
                <wp:effectExtent l="0" t="0" r="0" b="0"/>
                <wp:wrapNone/>
                <wp:docPr id="53" name="Frame5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April 2024, it elected to defer finalization of the 2025 Net Product Revenue and 2026 Net Product Revenue milestones. As a result and consistent with ASC Topic 718, a portion of the PSU awards was deemed for accounting purposes to have been granted in February 2025 when the 2025 Net Product Revenue Milestones were established. The grant date fair value for the PSUs was calculated based on the probable outcome of the performance condition as of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51485"/>
                <wp:effectExtent l="0" t="0" r="0" b="0"/>
                <wp:wrapNone/>
                <wp:docPr id="54" name="Frame5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NARRATIVE TO SUMMARY COMPENSATION TABLE AND GRANTS OF PLAN-BASED AWARDS TABLE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Summary of NEO Compensation Arrangements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David P. Meeker, M.D. Letter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July 28, 2023, we entered into an amended and restated offer letter agreement with Dr. Meeker, which sets forth the terms and conditions of his employment as President and Chief Executive Officer. Dr. Meeker’s service pursuant to the letter agreement will continue until terminated in accordance with its terms.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letter agreement, Dr. Meeker is entitled to receive an annual base salary and is eligible to receive an annual performance bonus targeted at a percentage of his then-current annual base salary. The actual amount of any annual bonus will be determined by reference to the attainment of applicable Company and/or individual performance objectives, as determined by the Compensation &amp; Management Development Committee. Dr. Meeker’s annual base salary and target annual bonus for 2025 are set forth above under the headings “Base Salary” and “Cash Incentive Compensation”. In the event Dr. Meeker’s employment is terminated by the Company without “cause” or by him for “good reason” (each, as defined in the letter agreement, and such termination, a “qualifying termination”), then, in addition to any accrued amounts, he will be entitled to receive 12 months of continued base salary, paid in substantially equal installments over a period of 12 months following the date of termination, and reimbursement for continued group medical plan coverage for a period of up to 12 months following the date of termination. However, if Dr. Meeker experiences a qualifying termination within 3 months prior to, or within 12 months following a change in control of the Company (such period, the “change in control protection period”), then Dr. Meeker will be entitled to receive (i) a cash severance amount equal to 18 months of his base salary plus 150% of his target annual performance bonus for the year in which the termination date occurs, paid in substantially equal installments over a period of 18 months following the date of termination, (ii) reimbursement for continued group medical plan coverage for a period of up to 18 months following the date of termination and (iii) accelerated vesting of each outstanding and unvested equity award in the Company held by him.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Dr. Meeker’s letter agreement also contains a parachute payment “best pay” provision, under which payments and benefits pursuant to the letter agreement or otherwise will either be made to him in full or as to such lesser amount as which would result in no portion of the payments and benefits being subject to an excise tax under Section 4999 of the Code, whichever of the foregoing amounts is greater on an after-tax basis.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Hunter C. Smith Letter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3, 2023, we entered into an amended and restated offer letter agreement with Mr. Smith, which sets forth the terms and conditions of his employment as Chief Financial Officer. Mr. Smith’s service pursuant to the letter agreement will continue until terminated in accordance with its terms.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letter agreement, Mr. Smith is entitled to receive an annual base salary and is eligible to receive an annual performance bonus targeted at a percentage of his then-current annual base salary. Mr. Smith’s annual base salary and target annual bonus for 2025 are set forth above under the headings “Base Salary” and “Cash Incentive Compensation”. The actual amount of any annual bonus will be determined by reference to the attainment of applicable Company and/or individual performance objectives, as determined by the Compensation &amp; Management Development Committee. If Mr. Smith experiences a qualifying termination, then, in addition to any accrued amounts, he will be entitled to receive 9 months of continued base salary, paid in substantially equal installments over a period of 9 months following the date of termination, and reimbursement for continued group medical plan coverage for a period of up to 9 months following the date of termination. However, if Mr. Smith experiences a qualifying termination within the change in control protection period, then Mr. Smith will be entitled to receive (i) a cash severance amount equal to 12 months of his base salary plus 100% of his target annual performance bonus for the year in which the termination date occurs, paid in substantially equal installments over a period of 12 months following the date of termination, (ii) reimbursement for continued group medical plan coverage for a period of up to 12 months following the date of termination and (iii) accelerated vesting of each outstanding and unvested equity award in the Company held by him.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Mr. Smith’s letter agreement also contains a parachute payment “best pay” provision, under which payments and benefits pursuant to the letter agreement or otherwise will either be made to him in full or as to such lesser amount as which would result in no portion of the payments and benefits being subject to an excise tax under Section 4999 of the Code, whichever of the foregoing amounts is greater on an after-tax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51485"/>
                <wp:effectExtent l="0" t="0" r="0" b="0"/>
                <wp:wrapNone/>
                <wp:docPr id="55" name="Frame5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Jennifer Lee Letter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3, 2023, we entered into an amended and restated offer letter agreement with Ms. Lee, which sets forth the terms and conditions of her employment as Executive Vice President, Head of North America. Ms. Lee’s service pursuant to the letter agreement will continue until terminated in accordance with its terms.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letter agreement, Ms. Lee is entitled to receive an annual base salary and is eligible to receive an annual performance bonus targeted at a percentage of her then-current annual base salary. Ms. Lee’s annual base salary and target annual bonus for 2025 are set forth above under the headings “Base Salary” and “Cash Incentive Compensation”. If Ms. Lee experiences a qualifying termination, then, in addition to any accrued amounts, she will be entitled to receive 9 months of continued base salary, paid in substantially equal installments over a period of 9 months following the date of termination, and reimbursement for continued group medical plan coverage for a period of up to 9 months following the date of termination. However, if Ms. Lee experiences a qualifying termination within the change in control protection period, then Ms. Lee will be entitled to receive (i) a cash severance amount equal to 12 months of her base salary plus 100% of her target annual performance bonus for the year in which the termination date occurs, paid in substantially equal installments over a period of 12 months following the date of termination, (ii) reimbursement for continued group medical plan coverage for a period of up to 12 months following the date of termination and (iii) accelerated vesting of each outstanding and unvested equity award in the Company held by her.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Ms. Lee’s letter agreement also contains a parachute payment “best pay” provision, under which payments and benefits pursuant to the letter agreement or otherwise will either be made to her in full or as to such lesser amount as which would result in no portion of the payments and benefits being subject to an excise tax under Section 4999 of the Code, whichever of the foregoing amounts is greater on an after-tax basis.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Yann Mazabraud Employment Contract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5, 2020, we entered into an employment agreement with Mr. Mazabraud, which sets forth the terms and conditions of his employment as Executive Vice President, Head of International. Mr. Mazabraud’s service pursuant to the employment contract will continue until terminated in accordance with its terms.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the employment contract, Mr. Mazabraud is entitled to receive an annual base salary, which includes an annual allowance of €8,000 for expenses incurred while working remotely. Mr. Mazabraud is also eligible to receive an annual performance bonus targeted at a percentage of his then-current annual base salary. Mr. Mazabraud’s annual base salary and target annual bonus for 2025 are set forth above under the headings “Base Salary” and “Cash Incentive Compensation”.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Alastair Garfield Letter Agreement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20, 2024, we entered into an offer letter agreement with Mr. Garfield, which sets forth the terms and conditions of his employment as Chief Scientific Officer. Mr. Garfield’s service pursuant to the letter agreement will continue until terminated in accordance with its terms.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letter agreement, Mr. Garfield is entitled to receive an annual base salary and is eligible to receive an annual performance bonus targeted at a percentage of his then-current annual base salary. Mr. Garfield’s annual base salary and target annual bonus for 2025 are set forth above under the headings “Base Salary” and “Cash Incentive Compensation”. If Mr. Garfield experiences a qualifying termination, then, in addition to any accrued amounts, he will be entitled to receive 9 months of continued base salary, paid in substantially equal installments over a period of 9 months following the date of termination, and reimbursement for continued group medical plan coverage for a period of up to 9 months following the date of termination. However, if Mr. Garfield experiences a qualifying termination within the change in control protection period, then Mr. Garfield will be entitled to receive (i) a cash severance amount equal to 12 months of his base salary plus 100% of his target annual performance bonus for the year in which the termination date occurs, paid in substantially equal installments over a period of 12 months following the date of termination, (ii) reimbursement for continued group medical plan coverage for a period of up to 12 months following the date of termination and (iii) accelerated vesting of each outstanding and unvested equity award in the Company held by him.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Garfield’s letter agreement also contains a parachute payment “best pay” provision, under which payments and benefits pursuant to the letter agreement or otherwise will either be made to him in full or as to such lesser amount as which would result in no portion of the payments and benefits being subject to an excise tax under Section 4999 of the Code, whichever of the foregoing amounts is greater on an after-tax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51485"/>
                <wp:effectExtent l="0" t="0" r="0" b="0"/>
                <wp:wrapNone/>
                <wp:docPr id="56" name="Frame5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Outstanding Equity Awards at 2025 Fiscal Year-End Table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number of shares of Common Stock underlying outstanding equity incentive plan awards for each NEO as of December 31, 2025. </w:t>
      </w:r>
    </w:p>
    <w:tbl>
      <w:tblPr>
        <w:tblW w:w="11940" w:type="dxa"/>
        <w:jc w:val="left"/>
        <w:tblInd w:w="0" w:type="dxa"/>
        <w:tblLayout w:type="fixed"/>
        <w:tblCellMar>
          <w:top w:w="28" w:type="dxa"/>
          <w:left w:w="28" w:type="dxa"/>
          <w:bottom w:w="28" w:type="dxa"/>
          <w:right w:w="28" w:type="dxa"/>
        </w:tblCellMar>
      </w:tblPr>
      <w:tblGrid>
        <w:gridCol w:w="250"/>
        <w:gridCol w:w="219"/>
        <w:gridCol w:w="222"/>
        <w:gridCol w:w="109"/>
        <w:gridCol w:w="109"/>
        <w:gridCol w:w="109"/>
        <w:gridCol w:w="420"/>
        <w:gridCol w:w="420"/>
        <w:gridCol w:w="421"/>
        <w:gridCol w:w="109"/>
        <w:gridCol w:w="109"/>
        <w:gridCol w:w="109"/>
        <w:gridCol w:w="325"/>
        <w:gridCol w:w="325"/>
        <w:gridCol w:w="326"/>
        <w:gridCol w:w="109"/>
        <w:gridCol w:w="109"/>
        <w:gridCol w:w="109"/>
        <w:gridCol w:w="370"/>
        <w:gridCol w:w="370"/>
        <w:gridCol w:w="371"/>
        <w:gridCol w:w="109"/>
        <w:gridCol w:w="109"/>
        <w:gridCol w:w="109"/>
        <w:gridCol w:w="172"/>
        <w:gridCol w:w="420"/>
        <w:gridCol w:w="114"/>
        <w:gridCol w:w="109"/>
        <w:gridCol w:w="109"/>
        <w:gridCol w:w="109"/>
        <w:gridCol w:w="295"/>
        <w:gridCol w:w="295"/>
        <w:gridCol w:w="296"/>
        <w:gridCol w:w="109"/>
        <w:gridCol w:w="109"/>
        <w:gridCol w:w="109"/>
        <w:gridCol w:w="230"/>
        <w:gridCol w:w="230"/>
        <w:gridCol w:w="231"/>
        <w:gridCol w:w="109"/>
        <w:gridCol w:w="109"/>
        <w:gridCol w:w="109"/>
        <w:gridCol w:w="374"/>
        <w:gridCol w:w="302"/>
        <w:gridCol w:w="216"/>
        <w:gridCol w:w="109"/>
        <w:gridCol w:w="109"/>
        <w:gridCol w:w="109"/>
        <w:gridCol w:w="270"/>
        <w:gridCol w:w="270"/>
        <w:gridCol w:w="271"/>
        <w:gridCol w:w="109"/>
        <w:gridCol w:w="109"/>
        <w:gridCol w:w="109"/>
        <w:gridCol w:w="333"/>
        <w:gridCol w:w="283"/>
        <w:gridCol w:w="356"/>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8"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Vesting</w:t>
              <w:br/>
              <w:t>Commencement</w:t>
              <w:br/>
              <w:t>Date</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w:t>
              <w:br/>
              <w:t>Securities</w:t>
              <w:br/>
              <w:t>Underlying</w:t>
              <w:br/>
              <w:t>Unexercised</w:t>
              <w:br/>
              <w:t>Options (#)</w:t>
              <w:br/>
              <w:t>Exercisable</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w:t>
              <w:br/>
              <w:t>Securities</w:t>
              <w:br/>
              <w:t>Underlying</w:t>
              <w:br/>
              <w:t>Unexercised</w:t>
              <w:br/>
              <w:t>Options (#)</w:t>
              <w:br/>
              <w:t>Unexercisable</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Option</w:t>
              <w:br/>
              <w:t>Exercise</w:t>
              <w:br/>
              <w:t>Price ($)</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Option</w:t>
              <w:br/>
              <w:t>Expiration</w:t>
              <w:br/>
              <w:t>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w:t>
              <w:br/>
              <w:t>Shares or</w:t>
              <w:br/>
              <w:t>Units of Stock</w:t>
              <w:br/>
              <w:t>That Have</w:t>
              <w:br/>
              <w:t xml:space="preserve">Not Vested </w:t>
              <w:br/>
              <w: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Market Value</w:t>
              <w:br/>
              <w:t>of Shares or</w:t>
              <w:br/>
              <w:t>Units of Stock</w:t>
              <w:br/>
              <w:t>That Have</w:t>
              <w:br/>
              <w:t>Not Vested</w:t>
              <w:br/>
              <w:t>($)(1)</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Equity</w:t>
              <w:br/>
              <w:t xml:space="preserve">Incentive </w:t>
              <w:br/>
              <w:t>Plan</w:t>
              <w:br/>
              <w:t>Awards:</w:t>
              <w:br/>
              <w:t>Number of</w:t>
              <w:br/>
              <w:t>Unearned</w:t>
              <w:br/>
              <w:t>Shares, Units</w:t>
              <w:br/>
              <w:t>or Other</w:t>
              <w:br/>
              <w:t>Rights That</w:t>
              <w:br/>
              <w:t>Have Not</w:t>
              <w:br/>
              <w:t>Vested (#)</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Equity</w:t>
              <w:br/>
              <w:t>Incentive</w:t>
              <w:br/>
              <w:t>Plan</w:t>
              <w:br/>
              <w:t>Awards:</w:t>
              <w:br/>
              <w:t>Market or</w:t>
              <w:br/>
              <w:t>Payout Value</w:t>
              <w:br/>
              <w:t>of Unearned</w:t>
              <w:br/>
              <w:t>Shares, Units</w:t>
              <w:br/>
              <w:t>or Other</w:t>
              <w:br/>
              <w:t>Rights That</w:t>
              <w:br/>
              <w:t>Have Not</w:t>
              <w:br/>
              <w:t>Vested ($) (1)</w:t>
            </w:r>
          </w:p>
        </w:tc>
      </w:tr>
      <w:tr>
        <w:trPr/>
        <w:tc>
          <w:tcPr>
            <w:tcW w:w="69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David P. Meeker,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1/6/2017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(2)</w:t>
            </w:r>
          </w:p>
        </w:tc>
        <w:tc>
          <w:tcPr>
            <w:tcW w:w="97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65,430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6.05 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6/6/2018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(3)</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06/06/2028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6/19/2019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(3)</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06/19/2029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6/17/2020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(3)</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18,500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06/17/2030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7/20/2020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(4)</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900,000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07/17/2030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2/11/2021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(5)</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220,000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02/11/2031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2/9/2022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(5)</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478,125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02/9/2032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157,850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02/01/2033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2/1/2023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3,023,880 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2/16/2024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113,312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145,688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2/16/2034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2/16/2024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6,823,800 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4/26/2024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4,638,043 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2/14/2025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2/14/2035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2/14/2025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133,350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14,273,784 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Hunter C. Smith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2/14/2018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(5)</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61,000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02/14/2028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2/13/2019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(5)</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70,000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02/13/2029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2/14/2020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(5)</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02/14/2030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7/17/2020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(5)</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25,000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07/17/2030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2/11/2021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56,250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02/11/2031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2/9/2022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(5)</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91,406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02/9/2032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2/9/2022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(6)</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434,796 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(5)</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2/1/2023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(6)</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1,054,344 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2/16/2024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45,225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2/16/2034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2/16/2024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2,119,392 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4/26/2024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3,710,435 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2/14/2025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50,781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02/14/2035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2/14/2025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41,650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4,458,216 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Yann Mazabraud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10/5/2020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(7)</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10/5/2030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2/11/2021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(5)</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48,750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02/11/2031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2/9/2022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(5)</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02/9/2032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4/14/2023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(6)</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2,221,080 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2/16/2024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(5)</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02/16/2034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2/16/2024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(6)</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1,766,160 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4/15/2024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802,800 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4/26/2024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(8)</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3,710,435 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2/14/2025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(5)</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02/14/2035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2/14/2025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(6)</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4,281,600 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Jennifer Lee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11/9/2020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(7)</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71,283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51485"/>
                <wp:effectExtent l="0" t="0" r="0" b="0"/>
                <wp:wrapNone/>
                <wp:docPr id="57" name="Frame5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tbl>
      <w:tblPr>
        <w:tblW w:w="9051"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194"/>
        <w:gridCol w:w="194"/>
        <w:gridCol w:w="196"/>
        <w:gridCol w:w="109"/>
        <w:gridCol w:w="109"/>
        <w:gridCol w:w="109"/>
        <w:gridCol w:w="145"/>
        <w:gridCol w:w="145"/>
        <w:gridCol w:w="146"/>
        <w:gridCol w:w="109"/>
        <w:gridCol w:w="109"/>
        <w:gridCol w:w="109"/>
        <w:gridCol w:w="144"/>
        <w:gridCol w:w="144"/>
        <w:gridCol w:w="148"/>
        <w:gridCol w:w="109"/>
        <w:gridCol w:w="109"/>
        <w:gridCol w:w="109"/>
        <w:gridCol w:w="166"/>
        <w:gridCol w:w="406"/>
        <w:gridCol w:w="109"/>
        <w:gridCol w:w="109"/>
        <w:gridCol w:w="109"/>
        <w:gridCol w:w="109"/>
        <w:gridCol w:w="214"/>
        <w:gridCol w:w="214"/>
        <w:gridCol w:w="216"/>
        <w:gridCol w:w="109"/>
        <w:gridCol w:w="109"/>
        <w:gridCol w:w="109"/>
        <w:gridCol w:w="144"/>
        <w:gridCol w:w="144"/>
        <w:gridCol w:w="148"/>
        <w:gridCol w:w="109"/>
        <w:gridCol w:w="109"/>
        <w:gridCol w:w="109"/>
        <w:gridCol w:w="308"/>
        <w:gridCol w:w="308"/>
        <w:gridCol w:w="109"/>
        <w:gridCol w:w="109"/>
        <w:gridCol w:w="109"/>
        <w:gridCol w:w="109"/>
        <w:gridCol w:w="145"/>
        <w:gridCol w:w="145"/>
        <w:gridCol w:w="146"/>
        <w:gridCol w:w="109"/>
        <w:gridCol w:w="109"/>
        <w:gridCol w:w="109"/>
        <w:gridCol w:w="308"/>
        <w:gridCol w:w="308"/>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2/11/2021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(5)</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37,108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02/11/2031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2/9/2022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(5)</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16,445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02/9/2032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2/9/2022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(6)</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367,896 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2/1/2023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(5)</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02/1/2033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(6)</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965,929 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2/16/2024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(5)</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02/16/2034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2/16/2024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(6)</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1,766,160 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4/26/2024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(8)</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3,710,435 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2/14/2025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(5)</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02/14/2035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2/14/2025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(6)</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3,923,016 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Alastair Garfield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7/1/2024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(5)</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16,666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07/8/2034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7/1/2024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(6)</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1,427,164 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7/1/2024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(8)</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3,710,435 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2/14/2025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(5)</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2/14/2035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2/14/2025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2"/>
              </w:rPr>
              <w:t>(6)</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2,852,616 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(1)Amounts are calculated based on multiplying the number of shares shown in the table by the per share closing price of our Common Stock on December 31, 2025 (the last trading day of 2025), which was $107.04.</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(2)These options vest in 3 equal annual installments following the vesting commencement date, except that the last installment, if necessary, may be smaller.</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(3)These options vest in full upon the earlier of the first anniversary of the date of grant or the date of the next annual meeting of stockholders.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(4)25% of the shares subject to these options vest on the first anniversary of the vesting commencement date, and the remaining shares vest in 36 monthly installments thereafter, except that the last installment, if necessary, may be smaller.</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(5)These options vest in 16 equal quarterly installments following the vesting commencement date, except that the last installment, if necessary, may be smaller.</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(6)These RSUs will vest in 4 equal annual installments beginning on the first anniversary of the vesting commencement date. In December 2025, to simplify administration of the Company’s equity incentive programs, all outstanding Company RSUs were amended so that vesting of any portion of an award that was otherwise scheduled to vesting during a given month was accelerated to the first day of the applicable month.</w:t>
      </w:r>
    </w:p>
    <w:p>
      <w:pPr>
        <w:pStyle w:val="TextBody"/>
        <w:bidi w:val="0"/>
        <w:spacing w:lineRule="auto" w:line="26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(7)25% of the shares subject to this option vest on the first anniversary of the vesting commencement date, and the remaining shares vest in 12 quarterly installments thereafter, except that the last installment, if necessary, may be smaller.</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(8)These PSUs are eligible to vest upon the Compensation &amp; Management Development Committee’s determination of performance following the end of the performance period ending on December 31, 2026, subject to continued service through such determination date. For additional information about the PSUs, see the section of our CD&amp;A above titled “2024-2026 Special PSU Grants and Determination of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51485"/>
                <wp:effectExtent l="0" t="0" r="0" b="0"/>
                <wp:wrapNone/>
                <wp:docPr id="58" name="Frame5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Option Exercises and Stock Vested in Fiscal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stock options exercised and the stock awards vested during 2025.</w:t>
      </w:r>
    </w:p>
    <w:tbl>
      <w:tblPr>
        <w:tblW w:w="8415" w:type="dxa"/>
        <w:jc w:val="left"/>
        <w:tblInd w:w="0" w:type="dxa"/>
        <w:tblLayout w:type="fixed"/>
        <w:tblCellMar>
          <w:top w:w="28" w:type="dxa"/>
          <w:left w:w="28" w:type="dxa"/>
          <w:bottom w:w="28" w:type="dxa"/>
          <w:right w:w="28" w:type="dxa"/>
        </w:tblCellMar>
      </w:tblPr>
      <w:tblGrid>
        <w:gridCol w:w="547"/>
        <w:gridCol w:w="479"/>
        <w:gridCol w:w="488"/>
        <w:gridCol w:w="109"/>
        <w:gridCol w:w="109"/>
        <w:gridCol w:w="109"/>
        <w:gridCol w:w="469"/>
        <w:gridCol w:w="469"/>
        <w:gridCol w:w="471"/>
        <w:gridCol w:w="109"/>
        <w:gridCol w:w="109"/>
        <w:gridCol w:w="109"/>
        <w:gridCol w:w="227"/>
        <w:gridCol w:w="1051"/>
        <w:gridCol w:w="117"/>
        <w:gridCol w:w="109"/>
        <w:gridCol w:w="109"/>
        <w:gridCol w:w="109"/>
        <w:gridCol w:w="469"/>
        <w:gridCol w:w="469"/>
        <w:gridCol w:w="471"/>
        <w:gridCol w:w="109"/>
        <w:gridCol w:w="109"/>
        <w:gridCol w:w="109"/>
        <w:gridCol w:w="217"/>
        <w:gridCol w:w="1005"/>
        <w:gridCol w:w="158"/>
      </w:tblGrid>
      <w:tr>
        <w:trPr/>
        <w:tc>
          <w:tcPr>
            <w:tcW w:w="5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 Awards</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 Shares</w:t>
              <w:br/>
              <w:t xml:space="preserve">Acquired on </w:t>
              <w:br/>
              <w:t>Exercise (#)</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Value Realized</w:t>
              <w:br/>
              <w:t>on Exercise(1)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 Shares</w:t>
              <w:br/>
              <w:t>Acquired on</w:t>
              <w:br/>
              <w:t>Vesting (#)</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Value Realized</w:t>
              <w:br/>
              <w:t>on Vesting(2) ($)</w:t>
            </w:r>
          </w:p>
        </w:tc>
      </w:tr>
      <w:tr>
        <w:trPr/>
        <w:tc>
          <w:tcPr>
            <w:tcW w:w="151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P. Meeker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2,637,265 </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2,062,104 </w:t>
            </w:r>
          </w:p>
        </w:tc>
        <w:tc>
          <w:tcPr>
            <w:tcW w:w="15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Hunter C. Smith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7,303,001 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Lee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902,549 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Yann Mazabraud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1,648,614 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Alastair Garfield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(1)Calculated by multiplying (i) the number of shares exercised by (ii) the difference between the closing price of the Company’s Common Stock on the date of exercise and the exercise price of the option.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(2)Calculated by multiplying the shares vested by the closing prices of the Company’s Common Stock on the applicable dates of vesting.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Potential Payments Upon Termination or Change in Control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accordance with SEC rules, the following table summarizes the payments that would be made to certain of our NEOs upon the occurrence of certain qualifying terminations of employment, assuming such NEO’s termination of employment with the Company occurred on December 31, 2025 and, where relevant, that a change in control of the Company occurred on December 31, 2025. Amounts shown in the table below do not include (1) accrued but unpaid salary and (2) other benefits earned or accrued by the named executive officers during the NEO’s employment that are available to all salaried employees, such as accrued vacation.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entered into certain letter agreements with each of our NEOs that provide our NEOs with severance protections. The letter agreements provide that the NEOs will be eligible for severance benefits in certain circumstances following a termination of employment without cause or with good reason, whether or not in connection with a change in control. Additionally, the PSUs granted in 2024 provide for accelerated vesting upon a change in control, with such PSUs vesting at 100% or such greater percentage if the Committee determines that sufficient milestones have been attained or that it is probable such milestones will be attained.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the employment letter agreements for the NEOs, other than Mr. Mazabraud, in the event that such executive’s employment is terminated by the Company without “cause,” or by the executive for “good reason” (each, as defined in the applicable agreement, and referred to herein as a qualifying termination), then such executive will be entitled to the severance payments and benefits described below.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Dr. Meeker experiences a qualifying termination of employment, then, in addition to any accrued amounts, he will be entitled to receive 12 months of continued base salary, paid in substantially equal installments over a period of 12 months, and reimbursement for continued healthcare benefits for up to 12 months following the date of termination. However, in the event that Dr. Meeker experiences a qualifying termination of employment within three months prior to, or within 12 months following a change in control of the Company (referred to herein as the Change in Control Period), then Dr. Meeker will be entitled to receive (i) a cash severance amount equal to (A) 18 months of his then-current base salary and (B) 150% of his then-current target annual bonus, paid in substantially equal installments over a period of 18 months (unless the Company elects to pay such amount in lump sum), (ii) reimbursement for continued healthcare benefits for up to 18 months following the date of termination and (iii) accelerated vesting of each outstanding and unvested equity award held by him.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If Messrs. Smith or Garfield or Ms. Lee experiences a qualifying termination of employment, then, in addition to any accrued amounts, such individual will be entitled to receive 9 months of continued base salary, paid in substantially equal installments over a period of 9 months, and reimbursement for continued healthcare benefits for up to 9 months following the date of termination. However, in the event that Messrs. Smith or Garfield or Ms. Lee experiences a qualifying termination of employment within the Change in Control Period, such individual will be entitled to receive (i) a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51485"/>
                <wp:effectExtent l="0" t="0" r="0" b="0"/>
                <wp:wrapNone/>
                <wp:docPr id="59" name="Frame5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severance amount equal to (A) 12 months of his then-current base salary and (B) 100% of such individual’s then-current target bonus, payable over 12 months following such termination, (ii) reimbursement for continued healthcare benefits for up to 12 months following the date of termination and (iii) accelerated vesting of each outstanding and unvested equity award held by such individual.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Mr. Mazabraud experiences a termination of employment that is not due to serious misconduct (“faute grave”) or gross misconduct (“faute lourde”), Mr. Mazabraud is entitled to a three-month notice period or three months’ compensation in lieu of notice.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Notwithstanding the accelerated vesting in the event of a qualifying termination of employment within the Change in Control Period described above, the PSUs granted in 2024 provide that in the event the individual experiences a qualifying termination of employment within three months prior to a change in control, the PSUs will remain outstanding and eligible to vest in connection with such change in control.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 severance payments and benefits under the letter agreements are subject to the NEO’s execution of a release of claims against us and continued compliance with certain restrictive covenants. The letter agreements also include a Section 280G “best pay” provision, which provides that if any amount received by the NEO pursuant to the agreement or otherwise that would be subject to the excise tax imposed by Section 4999 of the Code, the NEO would receive the full amount of the payments and benefits or an amount reduced so that no portion would be subject to the excise tax, whichever would result in the largest payment to the NEO on an after-tax basis.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Estimated Potential Payments</w:t>
      </w:r>
    </w:p>
    <w:tbl>
      <w:tblPr>
        <w:tblW w:w="10205" w:type="dxa"/>
        <w:jc w:val="left"/>
        <w:tblInd w:w="0" w:type="dxa"/>
        <w:tblLayout w:type="fixed"/>
        <w:tblCellMar>
          <w:top w:w="28" w:type="dxa"/>
          <w:left w:w="28" w:type="dxa"/>
          <w:bottom w:w="28" w:type="dxa"/>
          <w:right w:w="28" w:type="dxa"/>
        </w:tblCellMar>
      </w:tblPr>
      <w:tblGrid>
        <w:gridCol w:w="562"/>
        <w:gridCol w:w="485"/>
        <w:gridCol w:w="494"/>
        <w:gridCol w:w="109"/>
        <w:gridCol w:w="109"/>
        <w:gridCol w:w="109"/>
        <w:gridCol w:w="885"/>
        <w:gridCol w:w="885"/>
        <w:gridCol w:w="893"/>
        <w:gridCol w:w="109"/>
        <w:gridCol w:w="109"/>
        <w:gridCol w:w="109"/>
        <w:gridCol w:w="479"/>
        <w:gridCol w:w="474"/>
        <w:gridCol w:w="476"/>
        <w:gridCol w:w="109"/>
        <w:gridCol w:w="109"/>
        <w:gridCol w:w="109"/>
        <w:gridCol w:w="488"/>
        <w:gridCol w:w="488"/>
        <w:gridCol w:w="481"/>
        <w:gridCol w:w="109"/>
        <w:gridCol w:w="109"/>
        <w:gridCol w:w="109"/>
        <w:gridCol w:w="567"/>
        <w:gridCol w:w="514"/>
        <w:gridCol w:w="726"/>
      </w:tblGrid>
      <w:tr>
        <w:trPr/>
        <w:tc>
          <w:tcPr>
            <w:tcW w:w="56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Termination</w:t>
              <w:br/>
              <w:t>Without Cause or</w:t>
              <w:br/>
              <w:t>for Good Reason /</w:t>
              <w:br/>
              <w:t>Cause (no Change</w:t>
              <w:br/>
              <w:t>in Control)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in Control</w:t>
              <w:br/>
              <w:t>(no Termination)</w:t>
              <w:b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Termination Without</w:t>
              <w:br/>
              <w:t>Cause or for Good</w:t>
              <w:br/>
              <w:t>Reason / Cause in</w:t>
              <w:br/>
              <w:t>Connection with a</w:t>
              <w:br/>
              <w:t>Change in Control ($)</w:t>
            </w:r>
          </w:p>
        </w:tc>
      </w:tr>
      <w:tr>
        <w:trPr/>
        <w:tc>
          <w:tcPr>
            <w:tcW w:w="154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David P. Meeker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785,000 </w:t>
            </w:r>
          </w:p>
        </w:tc>
        <w:tc>
          <w:tcPr>
            <w:tcW w:w="47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2,060,625 </w:t>
            </w:r>
          </w:p>
        </w:tc>
        <w:tc>
          <w:tcPr>
            <w:tcW w:w="72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Equity Acceleration(2)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5,584,491 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49,638,470 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Continued Healthcare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52,546 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Total(3)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820,031 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5,584,491 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51,751,641 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Hunter C. Smith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Cash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393,150 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786,300 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Equity Acceleration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4,467,528 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15,183,699 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Continued Healthcare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26,213 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34,950 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Total(3)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419,363 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4,467,528 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16,004,949 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Jennifer Lee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Cash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387,375 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748,925 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Equity Acceleration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4,467,528 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13,136,560 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Continued Healthcare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23,473 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Total(3)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404,980 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4,467,528 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13,908,958 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Yann Mazabraud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Cash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421,266 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814,448 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Equity Acceleration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4,467,528 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14,221,725 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All Other Payments or Benefits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Total(3)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421,266 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4,467,528 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15,036,173 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Alastair Garfield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Cash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371,250 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717,750 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Equity Acceleration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4,467,528 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8,236,443 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Continued Healthcare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12,280 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Total(3)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380,460 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4,467,528 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8,966,473 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(1)Under the award agreements for the 2024 PSU awards, the PSUs would have vested upon a change in control occurring on December 31, 2025 at 100% of the PSUs or a greater percentage if the Compensation &amp; Management Development Committee determined that sufficient milestones have been attained or that it was probable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51485"/>
                <wp:effectExtent l="0" t="0" r="0" b="0"/>
                <wp:wrapNone/>
                <wp:docPr id="60" name="Frame5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milestones will be attained. In addition, under our 2017 Plan, to the extent the surviving entity declined to continue, convert, assume or replace outstanding awards in the change in control, all outstanding options and RSUs would have vested upon the change in control. The amounts shown in this column assume that outstanding options and RSUs would be continued by the surviving entity and, accordingly, no value has been included for them in this column. For PSUs, the amount shown was calculated by multiplying the number of outstanding PSUs by $107.04, the closing trading price of our Common Stock on December 31, 2025.</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(2)With respect to options, the value of equity acceleration was calculated by multiplying (i) the number of accelerated shares of Common Stock underlying the options by (ii) the excess, if any, of $107.04, the closing trading price of our Common Stock on December 31, 2025, over the exercise price for the options. With respect to RSUs and outstanding PSUs, the value of equity acceleration was calculated by multiplying the number of accelerated RSUs and/or PSUs, as applicable, by $107.04, the closing trading price of our Common Stock on December 31, 2025. The PSUs would remain outstanding and eligible to vest in connection a change in control if the NEO experiences a qualifying termination within three months prior to the change in control.</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(3)Amounts shown are the maximum potential payment the NEO would have received as of December 31, 2025. Amounts of any reduction pursuant to the 280G best pay provision, if any, would be calculated upon actual termination of employment.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CEO Pay Ratio</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required by Section 953(b) of the Dodd-Frank Wall Street Reform and Consumer Protection Act and Item 402(u) of Regulation S-K, we are providing the following information regarding the ratio of our Chief Executive Officer’s annual total compensation to the annual total compensation of our median employee.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annual total compensation for 2025 for our Chief Executive Officer was $17,544,525, as reported in the Summary Compensation Table. The annual total compensation for 2025 for our median employee, identified as discussed below, was $484,876, calculated using the methodology below. Based on this information, for 2025, the ratio of the annual total cash compensation of our Chief Executive Officer to the median of the annual total compensation of our other employees was approximately 36 to 1.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Methodology, Assumptions and Estimates Used in Determining our Pay Ratio Disclosure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analyzed fiscal year 2025 data to identify the median employee from our entire employee population (other than our Chief Executive Officer), whether employed on a full-time or part-time basis, as of December 31, 2025, which consisted of 400 employees. Within this group, the median employee was identified using a consistently applied compensation measure (“CACM”) of total cash and equity compensation received, which we calculated by aggregating all cash compensation received and equity compensation granted during the fiscal year ending December 31, 2025, for each employee consisting of: (1) base pay, (2) bonuses, (3) commissions, and (4) the grant date fair value of equity awards granted in 2025. In identifying the median employee, we converted compensation amounts paid in foreign currencies based on the applicable year-to-date average exchange rate as of December 31, 2025 and annualized the compensation values of individuals that joined our Company during 2025. We did not exclude workers in non-U.S. countries and did not make any cost-of-living adjustments.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Once the median employee was identified, we calculated the median employee’s annual target total direct compensation in accordance with the requirements of the Summary Compensation Table.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information is being provided for compliance purposes and should be viewed as a reasonable estimate calculated in a manner consistent with the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&amp; Management Development Committee nor management of the Company used the CEO Pay Ratio measure in making compensation decisions for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51485"/>
                <wp:effectExtent l="0" t="0" r="0" b="0"/>
                <wp:wrapNone/>
                <wp:docPr id="61" name="Frame5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Pay Versus Performance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accordance with the SEC’s disclosure requirements regarding pay versus performance, this section presents the SEC-defined “Compensation Actually Paid,” or CAP. Also required by the SEC, this section compares CAP to various measures used to gauge our performance. CAP is a supplemental measure to be viewed alongside performance measures as an addition to the philosophy and strategy of compensation-setting discussed elsewhere in this proxy statement, not in replacement.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2025 Pay Versus Performance Table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concerning the compensation of our NEOs for each of the fiscal years ended December 31, 2021, 2022, 2023, 2024 and 2025 and our financial performance for each such fiscal year:</w:t>
      </w:r>
    </w:p>
    <w:tbl>
      <w:tblPr>
        <w:tblW w:w="14021"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540"/>
        <w:gridCol w:w="541"/>
        <w:gridCol w:w="381"/>
        <w:gridCol w:w="540"/>
        <w:gridCol w:w="541"/>
        <w:gridCol w:w="109"/>
        <w:gridCol w:w="547"/>
        <w:gridCol w:w="549"/>
        <w:gridCol w:w="381"/>
        <w:gridCol w:w="109"/>
        <w:gridCol w:w="109"/>
        <w:gridCol w:w="109"/>
        <w:gridCol w:w="488"/>
        <w:gridCol w:w="488"/>
        <w:gridCol w:w="381"/>
        <w:gridCol w:w="109"/>
        <w:gridCol w:w="109"/>
        <w:gridCol w:w="109"/>
        <w:gridCol w:w="540"/>
        <w:gridCol w:w="541"/>
        <w:gridCol w:w="381"/>
        <w:gridCol w:w="109"/>
        <w:gridCol w:w="109"/>
        <w:gridCol w:w="109"/>
        <w:gridCol w:w="325"/>
        <w:gridCol w:w="325"/>
        <w:gridCol w:w="326"/>
        <w:gridCol w:w="109"/>
        <w:gridCol w:w="109"/>
        <w:gridCol w:w="109"/>
        <w:gridCol w:w="396"/>
        <w:gridCol w:w="325"/>
        <w:gridCol w:w="326"/>
        <w:gridCol w:w="109"/>
        <w:gridCol w:w="109"/>
        <w:gridCol w:w="109"/>
        <w:gridCol w:w="420"/>
        <w:gridCol w:w="421"/>
        <w:gridCol w:w="211"/>
        <w:gridCol w:w="109"/>
        <w:gridCol w:w="109"/>
        <w:gridCol w:w="109"/>
        <w:gridCol w:w="413"/>
        <w:gridCol w:w="413"/>
        <w:gridCol w:w="342"/>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5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Summary</w:t>
              <w:br/>
              <w:t>Compensation</w:t>
              <w:br/>
              <w:t xml:space="preserve">Table Total </w:t>
              <w:br/>
              <w:t>for PEO ($)</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Compensation</w:t>
              <w:br/>
              <w:t>Actually Paid</w:t>
              <w:br/>
              <w:t>to PEO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Average</w:t>
              <w:br/>
              <w:t>Summary</w:t>
              <w:br/>
              <w:t>Compensation</w:t>
              <w:br/>
              <w:t xml:space="preserve">Table Total </w:t>
              <w:br/>
              <w:t>for Non-PEO</w:t>
              <w:br/>
              <w:t>NEOs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Average</w:t>
              <w:br/>
              <w:t>Compensation</w:t>
              <w:br/>
              <w:t>Actually Paid</w:t>
              <w:br/>
              <w:t>to Non-PEO</w:t>
              <w:br/>
              <w:t>NEOs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Value of Initial Fixed $100 </w:t>
              <w:br/>
              <w:t>Investment Based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Income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Revenues</w:t>
              <w:br/>
              <w:t>($)(3)</w:t>
            </w:r>
          </w:p>
        </w:tc>
      </w:tr>
      <w:tr>
        <w:trPr/>
        <w:tc>
          <w:tcPr>
            <w:tcW w:w="5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continue"/>
            <w:tcBorders/>
            <w:tcMar>
              <w:top w:w="0" w:type="dxa"/>
              <w:left w:w="0" w:type="dxa"/>
              <w:bottom w:w="0" w:type="dxa"/>
              <w:right w:w="0" w:type="dxa"/>
            </w:tcMar>
            <w:vAlign w:val="center"/>
          </w:tcPr>
          <w:p>
            <w:pPr>
              <w:pStyle w:val="Normal"/>
              <w:bidi w:val="0"/>
              <w:jc w:val="left"/>
              <w:rPr/>
            </w:pPr>
            <w:r>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Stockholder</w:t>
              <w:br/>
              <w:t>Return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Peer Group</w:t>
              <w:br/>
              <w:t>Total Stockholder</w:t>
              <w:br/>
              <w:t>Return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17,544,525 </w:t>
            </w:r>
          </w:p>
        </w:tc>
        <w:tc>
          <w:tcPr>
            <w:tcW w:w="381"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17,544,525 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54,157,885 </w:t>
            </w:r>
          </w:p>
        </w:tc>
        <w:tc>
          <w:tcPr>
            <w:tcW w:w="381"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5,594,181 </w:t>
            </w:r>
          </w:p>
        </w:tc>
        <w:tc>
          <w:tcPr>
            <w:tcW w:w="381"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14,695,734 </w:t>
            </w:r>
          </w:p>
        </w:tc>
        <w:tc>
          <w:tcPr>
            <w:tcW w:w="381"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360.00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93.71 </w:t>
            </w:r>
          </w:p>
        </w:tc>
        <w:tc>
          <w:tcPr>
            <w:tcW w:w="32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(196,539)</w:t>
            </w:r>
          </w:p>
        </w:tc>
        <w:tc>
          <w:tcPr>
            <w:tcW w:w="211"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189,757 </w:t>
            </w:r>
          </w:p>
        </w:tc>
        <w:tc>
          <w:tcPr>
            <w:tcW w:w="342"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14,663,742 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18,680,784 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4,600,098 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6,662,641 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188.27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(260,602)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130,126 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7,230,457 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19,005,711 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1,974,174 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4,813,432 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154.61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77,428 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3,325,758 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24,142,912 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1,110,455 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4,805,393 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(181,119)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23,638 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6,458,360 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(10,017,699)</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2,069,493 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(775,040)</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significant variability in Compensation Actually Paid across periods is primarily driven by changes in the fair value of equity awards, which are sensitive to stock price performance and vesting conditions. Amounts represent compensation actually paid to our PEO and the average compensation actually paid to our remaining NEOs for the relevant fiscal year, as determined under SEC rules (and described in Note 2 below), which includes the individuals indicated in the table below for each fiscal year:</w:t>
      </w:r>
    </w:p>
    <w:tbl>
      <w:tblPr>
        <w:tblW w:w="9713" w:type="dxa"/>
        <w:jc w:val="center"/>
        <w:tblInd w:w="0" w:type="dxa"/>
        <w:tblLayout w:type="fixed"/>
        <w:tblCellMar>
          <w:top w:w="28" w:type="dxa"/>
          <w:left w:w="28" w:type="dxa"/>
          <w:bottom w:w="28" w:type="dxa"/>
          <w:right w:w="28" w:type="dxa"/>
        </w:tblCellMar>
      </w:tblPr>
      <w:tblGrid>
        <w:gridCol w:w="195"/>
        <w:gridCol w:w="172"/>
        <w:gridCol w:w="174"/>
        <w:gridCol w:w="109"/>
        <w:gridCol w:w="109"/>
        <w:gridCol w:w="109"/>
        <w:gridCol w:w="482"/>
        <w:gridCol w:w="482"/>
        <w:gridCol w:w="490"/>
        <w:gridCol w:w="109"/>
        <w:gridCol w:w="109"/>
        <w:gridCol w:w="109"/>
        <w:gridCol w:w="2062"/>
        <w:gridCol w:w="2062"/>
        <w:gridCol w:w="2940"/>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Non-PEO NEOs</w:t>
            </w:r>
          </w:p>
        </w:tc>
      </w:tr>
      <w:tr>
        <w:trPr/>
        <w:tc>
          <w:tcPr>
            <w:tcW w:w="54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David P. Meeker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Hunter C. Smith, Jennifer Lee, Yann Mazabraud and Alastair Garfield</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P. Meeker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Hunter C. Smith, Jennifer Lee, Yann Mazabraud and Joseph Shulman</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P. Meeker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Hunter C. Smith, Jennifer Lee, Yann Mazabraud and Joseph Shulman</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P. Meeker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Hunter C. Smith, Jennifer Lee, Yann Mazabraud and Joseph Shulman</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P. Meeker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Hunter C. Smith, Murray Stewart, Jennifer Lee, Yann Mazabraud and Joseph Shulman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51485"/>
                <wp:effectExtent l="0" t="0" r="0" b="0"/>
                <wp:wrapNone/>
                <wp:docPr id="62" name="Frame5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2025 Summary Compensation Table totals reported for the PEO and the average of the Other NEOs for each year were subject to the following adjustments per Item 402(v)(2)(iii) of Regulation S-K to calculate “compensation actually paid”:</w:t>
      </w:r>
    </w:p>
    <w:tbl>
      <w:tblPr>
        <w:tblW w:w="10205" w:type="dxa"/>
        <w:jc w:val="left"/>
        <w:tblInd w:w="0" w:type="dxa"/>
        <w:tblLayout w:type="fixed"/>
        <w:tblCellMar>
          <w:top w:w="28" w:type="dxa"/>
          <w:left w:w="28" w:type="dxa"/>
          <w:bottom w:w="28" w:type="dxa"/>
          <w:right w:w="28" w:type="dxa"/>
        </w:tblCellMar>
      </w:tblPr>
      <w:tblGrid>
        <w:gridCol w:w="2706"/>
        <w:gridCol w:w="2214"/>
        <w:gridCol w:w="2224"/>
        <w:gridCol w:w="557"/>
        <w:gridCol w:w="559"/>
        <w:gridCol w:w="151"/>
        <w:gridCol w:w="109"/>
        <w:gridCol w:w="109"/>
        <w:gridCol w:w="109"/>
        <w:gridCol w:w="547"/>
        <w:gridCol w:w="549"/>
        <w:gridCol w:w="371"/>
      </w:tblGrid>
      <w:tr>
        <w:trPr/>
        <w:tc>
          <w:tcPr>
            <w:tcW w:w="270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PEO</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Average for</w:t>
              <w:br/>
              <w:t>Other NEO’s</w:t>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Summary Compensation Table Total</w:t>
            </w:r>
          </w:p>
        </w:tc>
        <w:tc>
          <w:tcPr>
            <w:tcW w:w="11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17,544,525 </w:t>
            </w:r>
          </w:p>
        </w:tc>
        <w:tc>
          <w:tcPr>
            <w:tcW w:w="15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5,594,181 </w:t>
            </w:r>
          </w:p>
        </w:tc>
        <w:tc>
          <w:tcPr>
            <w:tcW w:w="3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ADJUSTMENTS(a):</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for Amounts reported under the “Stock Awards” and “Option Awards” Columns in the Summary Compensation Table(a)</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(15,963,345)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(4,716,770)</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based on ASC 718 Fair Value of Awards Granted during Applicable FY that Remain Unvested as of Applicable FY End, determined as of Applicable FY End</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27,463,032 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7,464,689 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based on ASC 718 Fair Value of Awards Granted during Applicable FY that Vested during Applicable FY, determined as of Vesting Date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2,236,519 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608,054 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Increase/deduction for Awards Granted during Prior FY that were Outstanding and Unvested as of Applicable FY End, determined based on change in ASC 718 Fair Value from Prior FY End to Applicable FY End</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17,766,871 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4,961,562 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Increase/deduction for Awards Granted during Prior FY that Vested During Applicable FY, determined based on change in ASC 718 Fair Value from Prior FY End to Vesting Date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5,110,282 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784,018 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of ASC 718 Fair Value of Awards Granted during Prior FY that were Forfeited during Applicable FY, determined as of Prior FY End</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based on Dividends or Other Earnings Paid during Applicable FY prior to Vesting Date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based on Incremental Fair Value of Options/SARs Modified during Applicable FY</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Related to Defined Benefit and Actuarial Pension Plans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Compensation Actually Paid</w:t>
            </w:r>
          </w:p>
        </w:tc>
        <w:tc>
          <w:tcPr>
            <w:tcW w:w="111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54,157,885</w:t>
            </w:r>
            <w:r>
              <w:rPr>
                <w:color w:val="000000"/>
              </w:rPr>
              <w:t> </w:t>
            </w:r>
          </w:p>
        </w:tc>
        <w:tc>
          <w:tcPr>
            <w:tcW w:w="1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14,695,734</w:t>
            </w:r>
            <w:r>
              <w:rPr>
                <w:color w:val="000000"/>
              </w:rPr>
              <w:t> </w:t>
            </w:r>
          </w:p>
        </w:tc>
        <w:tc>
          <w:tcPr>
            <w:tcW w:w="37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Measurement date equity fair values are calculated with assumptions derived on a basis consistent with those used for grant date fair value purposes. RSUs and PSUs are valued based on the closing stock price on the relevant measurement date. Stock options are valued using a Black-Scholes model as at the relevant measurement dates.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(2)For the relevant fiscal year, represents the cumulative TSR (the “Peer Group TSR”) of the NASDAQ Biotechnology Index (the “Peer Group”). The dollar amounts reported represent the amount of net loss reflected in the Company's audited financial statements for the applicable fiscal year.</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(3)Revenue is the Company’s selected GAAP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51485"/>
                <wp:effectExtent l="0" t="0" r="0" b="0"/>
                <wp:wrapNone/>
                <wp:docPr id="63" name="Frame6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Narrative Disclosure to Pay Versus Performance Table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Relationship Between Financial Performance Measures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graphs below compare the compensation actually paid to our PEO and the average of the compensation actually paid to our remaining NEOs, with (i) our cumulative TSR, (ii) our Peer Group TSR, (iii) our net income, and (iv) our total revenue, in each case, for the fiscal years ended December 31, 2021, 2022, 2023, 2024 and 2025.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TSR amounts reported in the graph assume an initial fixed investment of $100.</w:t>
      </w:r>
    </w:p>
    <w:p>
      <w:pPr>
        <w:pStyle w:val="TextBody"/>
        <w:bidi w:val="0"/>
        <w:spacing w:before="0" w:after="0"/>
        <w:jc w:val="center"/>
        <w:rPr/>
      </w:pPr>
      <w:r>
        <w:rPr/>
        <w:drawing>
          <wp:inline distT="0" distB="0" distL="0" distR="0">
            <wp:extent cx="6286500" cy="3409950"/>
            <wp:effectExtent l="0" t="0" r="0" b="0"/>
            <wp:docPr id="6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 descr=""/>
                    <pic:cNvPicPr>
                      <a:picLocks noChangeAspect="1" noChangeArrowheads="1"/>
                    </pic:cNvPicPr>
                  </pic:nvPicPr>
                  <pic:blipFill>
                    <a:blip r:embed="rId5"/>
                    <a:stretch>
                      <a:fillRect/>
                    </a:stretch>
                  </pic:blipFill>
                  <pic:spPr bwMode="auto">
                    <a:xfrm>
                      <a:off x="0" y="0"/>
                      <a:ext cx="6286500" cy="3409950"/>
                    </a:xfrm>
                    <a:prstGeom prst="rect">
                      <a:avLst/>
                    </a:prstGeom>
                  </pic:spPr>
                </pic:pic>
              </a:graphicData>
            </a:graphic>
          </wp:inline>
        </w:drawing>
      </w:r>
      <w:bookmarkStart w:id="3" w:name="i-4"/>
      <w:bookmarkEnd w:id="3"/>
    </w:p>
    <w:p>
      <w:pPr>
        <w:pStyle w:val="TextBody"/>
        <w:bidi w:val="0"/>
        <w:spacing w:before="0" w:after="240"/>
        <w:jc w:val="center"/>
        <w:rPr/>
      </w:pPr>
      <w:r>
        <w:rPr/>
      </w:r>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51485"/>
                <wp:effectExtent l="0" t="0" r="0" b="0"/>
                <wp:wrapNone/>
                <wp:docPr id="65" name="Frame6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drawing>
          <wp:inline distT="0" distB="0" distL="0" distR="0">
            <wp:extent cx="6286500" cy="3686175"/>
            <wp:effectExtent l="0" t="0" r="0" b="0"/>
            <wp:docPr id="6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 descr=""/>
                    <pic:cNvPicPr>
                      <a:picLocks noChangeAspect="1" noChangeArrowheads="1"/>
                    </pic:cNvPicPr>
                  </pic:nvPicPr>
                  <pic:blipFill>
                    <a:blip r:embed="rId6"/>
                    <a:stretch>
                      <a:fillRect/>
                    </a:stretch>
                  </pic:blipFill>
                  <pic:spPr bwMode="auto">
                    <a:xfrm>
                      <a:off x="0" y="0"/>
                      <a:ext cx="6286500" cy="3686175"/>
                    </a:xfrm>
                    <a:prstGeom prst="rect">
                      <a:avLst/>
                    </a:prstGeom>
                  </pic:spPr>
                </pic:pic>
              </a:graphicData>
            </a:graphic>
          </wp:inline>
        </w:drawing>
      </w:r>
      <w:bookmarkStart w:id="4" w:name="i-5"/>
      <w:bookmarkEnd w:id="4"/>
    </w:p>
    <w:p>
      <w:pPr>
        <w:pStyle w:val="TextBody"/>
        <w:bidi w:val="0"/>
        <w:spacing w:before="0" w:after="240"/>
        <w:jc w:val="center"/>
        <w:rPr/>
      </w:pPr>
      <w:r>
        <w:rPr/>
        <w:drawing>
          <wp:inline distT="0" distB="0" distL="0" distR="0">
            <wp:extent cx="6286500" cy="4343400"/>
            <wp:effectExtent l="0" t="0" r="0" b="0"/>
            <wp:docPr id="6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 descr=""/>
                    <pic:cNvPicPr>
                      <a:picLocks noChangeAspect="1" noChangeArrowheads="1"/>
                    </pic:cNvPicPr>
                  </pic:nvPicPr>
                  <pic:blipFill>
                    <a:blip r:embed="rId7"/>
                    <a:stretch>
                      <a:fillRect/>
                    </a:stretch>
                  </pic:blipFill>
                  <pic:spPr bwMode="auto">
                    <a:xfrm>
                      <a:off x="0" y="0"/>
                      <a:ext cx="6286500" cy="4343400"/>
                    </a:xfrm>
                    <a:prstGeom prst="rect">
                      <a:avLst/>
                    </a:prstGeom>
                  </pic:spPr>
                </pic:pic>
              </a:graphicData>
            </a:graphic>
          </wp:inline>
        </w:drawing>
      </w:r>
      <w:bookmarkStart w:id="5" w:name="i-6"/>
      <w:bookmarkEnd w:id="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51485"/>
                <wp:effectExtent l="0" t="0" r="0" b="0"/>
                <wp:wrapNone/>
                <wp:docPr id="68" name="Frame6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drawing>
          <wp:inline distT="0" distB="0" distL="0" distR="0">
            <wp:extent cx="6286500" cy="3810000"/>
            <wp:effectExtent l="0" t="0" r="0" b="0"/>
            <wp:docPr id="6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7" descr=""/>
                    <pic:cNvPicPr>
                      <a:picLocks noChangeAspect="1" noChangeArrowheads="1"/>
                    </pic:cNvPicPr>
                  </pic:nvPicPr>
                  <pic:blipFill>
                    <a:blip r:embed="rId8"/>
                    <a:stretch>
                      <a:fillRect/>
                    </a:stretch>
                  </pic:blipFill>
                  <pic:spPr bwMode="auto">
                    <a:xfrm>
                      <a:off x="0" y="0"/>
                      <a:ext cx="6286500" cy="3810000"/>
                    </a:xfrm>
                    <a:prstGeom prst="rect">
                      <a:avLst/>
                    </a:prstGeom>
                  </pic:spPr>
                </pic:pic>
              </a:graphicData>
            </a:graphic>
          </wp:inline>
        </w:drawing>
      </w:r>
      <w:bookmarkStart w:id="6" w:name="i-7"/>
      <w:bookmarkEnd w:id="6"/>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Pay Versus Performance Tabular List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believe the following performance measures represent the most important financial performance measures used by us to link compensation actually paid to our NEOs for the fiscal year ended December 31, 2025:</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Total revenues;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Total stockholders return;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Cash used in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Policies and Practices Relating to the Timing of Equity Awards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general practice is to not grant equity awards in anticipation of the release of material nonpublic information or time the release of material nonpublic information for the purpose of affecting the value of executive compensation. The Compensation &amp; Management Development Committee uses its business judgment to determine the size of our equity awards and would consider any material nonpublic information that is known to the Compensation &amp; Management Development Committee before granting an award. Although we do not have a formal policy with respect to the timing of our equity award grants, the Compensation &amp; Management Development Committee has historically granted awards on a predetermined annual schedule.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2025, we did not grant stock options to our NEOs during the four business days prior to or the one business day following the filing of our periodic reports or the filing or furnishing of a Form 8-K that discloses material nonpublic information.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Compensation Risk Assessment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have assessed our compensation programs for all employees and concluded that our compensation policies and practices do not create risks that are reasonably likely to have a material adverse effect on us. Management has evaluated our executive and employee compensation and benefits programs to determine if these programs’ provisions and operations create undesired or unintentional risk of a material nature. The risk assessment process includes a review of program policies and practices; analysis to identify risks and risk controls related to our compensation programs; and determinations as to the sufficiency of risk identification, the balance of potential risk to potential reward, the effectiveness of our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51485"/>
                <wp:effectExtent l="0" t="0" r="0" b="0"/>
                <wp:wrapNone/>
                <wp:docPr id="70" name="Frame6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controls and the impacts of our compensation programs and their risks to our strategy. Although we periodically review all compensation programs, we focus on the programs with variability of payout, with the ability of a participant to directly affect payout and the controls on participant action and payout. In relation to this, we believe that our incentive compensation arrangements provide incentives that do not encourage risk taking beyond our ability to effectively identify and manage significant risks and are compatible with effective internal controls and our risk management practices.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Compensation &amp; Management Development Committee monitors our compensation programs on an annual basis and expects to make modifications as necessary to address any changes in our business or risk profile.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51485"/>
                <wp:effectExtent l="0" t="0" r="0" b="0"/>
                <wp:wrapNone/>
                <wp:docPr id="71" name="Frame6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AUDIT COMMITTEE REPORT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Audit Committee has reviewed the audited consolidated financial statements of the Company for the fiscal year ended December 31, 2025 and has discussed these financial statements with management and the Company’s independent registered public accounting firm. The Audit Committee has also received from, and discussed with, Rhythm’s independent registered public accounting firm the matters that they are required to provide to the Audit Committee, including the matters required to be discussed by the Public Company Accounting Oversight Board (“PCAOB”) and the SEC.</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2025.</w:t>
      </w:r>
    </w:p>
    <w:p>
      <w:pPr>
        <w:pStyle w:val="TextBody"/>
        <w:bidi w:val="0"/>
        <w:spacing w:lineRule="auto" w:line="288" w:before="0" w:after="0"/>
        <w:jc w:val="left"/>
        <w:rPr/>
      </w:pPr>
      <w:r>
        <w:rPr>
          <w:rFonts w:ascii="Times New Roman;serif" w:hAnsi="Times New Roman;serif"/>
          <w:b w:val="false"/>
          <w:color w:val="000000"/>
          <w:sz w:val="20"/>
        </w:rPr>
        <w:t xml:space="preserve">David W.J. McGirr, </w:t>
      </w:r>
      <w:r>
        <w:rPr>
          <w:rFonts w:ascii="Times New Roman;serif" w:hAnsi="Times New Roman;serif"/>
          <w:b w:val="false"/>
          <w:i/>
          <w:color w:val="000000"/>
          <w:sz w:val="20"/>
        </w:rPr>
        <w:t>Chair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Jennifer Good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Christophe R. Jean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51485"/>
                <wp:effectExtent l="0" t="0" r="0" b="0"/>
                <wp:wrapNone/>
                <wp:docPr id="72" name="Frame6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NO. 2—RATIFICATION OF SELECTION OF INDEPENDENT REGISTERED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PUBLIC ACCOUNTING FIRM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asking our stockholders to ratify the Audit Committee’s selection of Ernst &amp; Young LLP, or Ernst &amp; Young, as our independent registered public accounting firm for the fiscal year ending December 31, 2026. Ernst &amp; Young has served as our independent registered public accounting firm since 2015.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Although stockholder ratification is not required by our bylaws or otherwise, the Board believes it is advisable to provide stockholders an opportunity to ratify this selection and is submitting the selection of Ernst &amp; Young to our stockholders for ratification as a matter of good corporate practice. If the selection is not ratified, the Audit Committee will consider whether it is appropriate to select another independent registered public accounting firm, but is not required to do so. Even if the selection is ratified, the Audit Committee in its discretion may select a different registered public accounting firm at any time during the year if the Audit Committee determines that such a change would be in the best interests of Rhythm and its stockholders.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expect that a representative of Ernst &amp; Young will attend the Annual Meeting and will have an opportunity to make a statement if he or she so chooses and will be available to respond to appropriate questions from stockholders.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Policy on Audit Committee Pre-Approval of Audit and Permissible Non-Audit Services of Independent Registered Public Accounting Firm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Audit Committee pre-approves all audit services, and permitted non-audit services (including the fees and terms thereof) to be performed by Ernst &amp; Young, subject to the de minimis exception for non-audit services that are approved by the Audit Committee prior to the completion of an audit. The Audit Committee may delegate pre-approval authority to one or more members of the Audit Committee consistent with applicable law and listing standards, provided that the decisions of such Audit Committee member or members must be presented to the full Audit Committee at its next scheduled meeting.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Principal Accountant Fees and Services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regularly review the services and fees of Ernst &amp; Young LLP. These services and fees are also reviewed by the Audit Committee on an annual basis. The following table sets forth all fees paid or accrued by us for professional audit services and other services rendered by Ernst &amp; Young LLP during the years ended December 31, 2025 and 2024:</w:t>
      </w:r>
    </w:p>
    <w:tbl>
      <w:tblPr>
        <w:tblW w:w="5000" w:type="dxa"/>
        <w:jc w:val="center"/>
        <w:tblInd w:w="0" w:type="dxa"/>
        <w:tblLayout w:type="fixed"/>
        <w:tblCellMar>
          <w:top w:w="28" w:type="dxa"/>
          <w:left w:w="28" w:type="dxa"/>
          <w:bottom w:w="28" w:type="dxa"/>
          <w:right w:w="28" w:type="dxa"/>
        </w:tblCellMar>
      </w:tblPr>
      <w:tblGrid>
        <w:gridCol w:w="608"/>
        <w:gridCol w:w="533"/>
        <w:gridCol w:w="538"/>
        <w:gridCol w:w="109"/>
        <w:gridCol w:w="109"/>
        <w:gridCol w:w="109"/>
        <w:gridCol w:w="211"/>
        <w:gridCol w:w="991"/>
        <w:gridCol w:w="109"/>
        <w:gridCol w:w="109"/>
        <w:gridCol w:w="109"/>
        <w:gridCol w:w="109"/>
        <w:gridCol w:w="211"/>
        <w:gridCol w:w="99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Fee Category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7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Audit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2,250,086 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2,188,982 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2,541,659</w:t>
            </w: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2,336,835</w:t>
            </w:r>
            <w:r>
              <w:rPr>
                <w:color w:val="000000"/>
              </w:rPr>
              <w:t>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Audit Fees.</w:t>
      </w:r>
      <w:r>
        <w:rPr>
          <w:color w:val="000000"/>
        </w:rPr>
        <w:t> </w:t>
      </w:r>
      <w:r>
        <w:rPr>
          <w:rFonts w:ascii="Times New Roman;serif" w:hAnsi="Times New Roman;serif"/>
          <w:b w:val="false"/>
          <w:color w:val="000000"/>
          <w:sz w:val="20"/>
        </w:rPr>
        <w:t>Consist of aggregate fees for professional services provided in connection with the annual audit of our consolidated financial statements, the review of our quarterly condensed consolidated financial statements, consultations on accounting matters directly related to the audit, and comfort letters, consents and assistance with and review of documents filed with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51485"/>
                <wp:effectExtent l="0" t="0" r="0" b="0"/>
                <wp:wrapNone/>
                <wp:docPr id="73" name="Frame6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pPr>
      <w:r>
        <w:rPr>
          <w:rFonts w:ascii="Times New Roman;serif" w:hAnsi="Times New Roman;serif"/>
          <w:b w:val="false"/>
          <w:i/>
          <w:color w:val="000000"/>
          <w:sz w:val="20"/>
        </w:rPr>
        <w:t>Audit-Related Fees</w:t>
      </w:r>
      <w:r>
        <w:rPr>
          <w:rFonts w:ascii="Times New Roman;serif" w:hAnsi="Times New Roman;serif"/>
          <w:b w:val="false"/>
          <w:color w:val="000000"/>
          <w:sz w:val="20"/>
        </w:rPr>
        <w:t>. None.</w:t>
      </w:r>
    </w:p>
    <w:p>
      <w:pPr>
        <w:pStyle w:val="TextBody"/>
        <w:bidi w:val="0"/>
        <w:spacing w:lineRule="auto" w:line="288" w:before="0" w:after="240"/>
        <w:jc w:val="left"/>
        <w:rPr/>
      </w:pPr>
      <w:r>
        <w:rPr>
          <w:rFonts w:ascii="Times New Roman;serif" w:hAnsi="Times New Roman;serif"/>
          <w:b w:val="false"/>
          <w:i/>
          <w:color w:val="000000"/>
          <w:sz w:val="20"/>
        </w:rPr>
        <w:t>Tax Fees.</w:t>
      </w:r>
      <w:r>
        <w:rPr>
          <w:color w:val="000000"/>
        </w:rPr>
        <w:t> </w:t>
      </w:r>
      <w:r>
        <w:rPr>
          <w:rFonts w:ascii="Times New Roman;serif" w:hAnsi="Times New Roman;serif"/>
          <w:b w:val="false"/>
          <w:color w:val="000000"/>
          <w:sz w:val="20"/>
        </w:rPr>
        <w:t>Consist of aggregate fees for tax compliance, tax advice and tax planning services including the review and preparation of our federal and state income tax returns.</w:t>
      </w:r>
    </w:p>
    <w:p>
      <w:pPr>
        <w:pStyle w:val="TextBody"/>
        <w:bidi w:val="0"/>
        <w:spacing w:lineRule="auto" w:line="288" w:before="0" w:after="240"/>
        <w:jc w:val="left"/>
        <w:rPr/>
      </w:pPr>
      <w:r>
        <w:rPr>
          <w:rFonts w:ascii="Times New Roman;serif" w:hAnsi="Times New Roman;serif"/>
          <w:b w:val="false"/>
          <w:i/>
          <w:color w:val="000000"/>
          <w:sz w:val="20"/>
        </w:rPr>
        <w:t>All Other Fees.</w:t>
      </w:r>
      <w:r>
        <w:rPr>
          <w:color w:val="000000"/>
        </w:rPr>
        <w:t> </w:t>
      </w:r>
      <w:r>
        <w:rPr>
          <w:rFonts w:ascii="Times New Roman;serif" w:hAnsi="Times New Roman;serif"/>
          <w:b w:val="false"/>
          <w:color w:val="000000"/>
          <w:sz w:val="20"/>
        </w:rPr>
        <w:t>Consist of aggregate fees billed for products and services provided by the independent registered public accounting firm other than those fees disclosed above. For the years ended December 31, 2024 and, 2025, the other fees consist of fees billed related to our Ernst &amp; Young research website membership.</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Audit Committee pre-approved all services performed since the pre-approval policy was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BOARD OF DIRECTORS UNANIMOUSLY RECOMMENDS THAT YOU VOTE “FOR” THE RATIFICATION OF THE SELECTION OF ERNST &amp; YOUNG AS THE COMPANY’S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INDEPENDENT REGISTERED PUBLIC ACCOUNTING FIRM.</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(PROPOSAL NO.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51485"/>
                <wp:effectExtent l="0" t="0" r="0" b="0"/>
                <wp:wrapNone/>
                <wp:docPr id="74" name="Frame6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PROPOSAL NO. 3—APPROVAL, ON AN ADVISORY (NON-BINDING) BASIS, OF THE COMPENSATION OF OUR NAMED EXECUTIVE OFFICERS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required by Section 14A(a)(1) of the Exchange Act, the below resolution enables our stockholders to vote to approve, on an advisory (non-binding) basis, the compensation of our named executive officers as disclosed in this Proxy Statement. This proposal, commonly known as a “Say-on-Pay Vote”, gives our stockholders the opportunity to express their views on our named executive officers’ compensation. The Say-on-Pay Vote is not intended to address any specific item of compensation, but rather the overall compensation of our named executive officers described in this Proxy Statement.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encourage our stockholders to review the “Executive Compensation” section of this Proxy Statement for more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an advisory approval, this proposal is not binding upon us or our Board or the Compensation &amp; Management Development Committee, which is responsible for the design and administration of our executive compensation program. However, the Board and Compensation &amp; Management Development Committee value the opinions of our stockholders expressed through your vote on this proposal. The Board and Compensation &amp; Management Development Committee will consider the outcome of this vote in making future compensation decisions for our named executive officers. Accordingly, we ask our stockholders to vote “FOR” the following resolution at the Annual Meeting:</w:t>
      </w:r>
    </w:p>
    <w:p>
      <w:pPr>
        <w:pStyle w:val="TextBody"/>
        <w:bidi w:val="0"/>
        <w:spacing w:lineRule="auto" w:line="288" w:before="0" w:after="240"/>
        <w:jc w:val="left"/>
        <w:rPr/>
      </w:pPr>
      <w:r>
        <w:rPr>
          <w:color w:val="000000"/>
        </w:rPr>
        <w:t>“</w:t>
      </w:r>
      <w:r>
        <w:rPr>
          <w:rFonts w:ascii="Times New Roman;serif" w:hAnsi="Times New Roman;serif"/>
          <w:b/>
          <w:color w:val="000000"/>
          <w:sz w:val="20"/>
        </w:rPr>
        <w:t>RESOLVED</w:t>
      </w:r>
      <w:r>
        <w:rPr>
          <w:rFonts w:ascii="Times New Roman;serif" w:hAnsi="Times New Roman;serif"/>
          <w:b w:val="false"/>
          <w:color w:val="000000"/>
          <w:sz w:val="20"/>
        </w:rPr>
        <w:t>, that the Company’s stockholders approve, by a non-binding advisory vote, the compensation of the named executive officers, as disclosed in the Company’s Proxy Statement for the 2026 Annual Meeting of Stockholders pursuant to the compensation disclosure rules of the Securities and Exchange Commission, including the Compensation Discussion and Analysis, the compensation tables and narrative discussion.”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Following consideration of the outcome of the advisory vote on the frequency of future Say-on-Pay Votes at the 2021 Annual Meeting of Stockholders, the Board has determined that the next advisory Say-on-Pay Vote will be held in 2027.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BOARD OF DIRECTORS UNANIMOUSLY RECOMMENDS THAT YOU VOTE “FOR” THE APPROVAL, ON AN ADVISORY (NON-BINDING) BASIS, OF THE COMPENSATION OF</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OUR NAMED EXECUTIVE OFFICERS.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(PROPOSAL NO.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51485"/>
                <wp:effectExtent l="0" t="0" r="0" b="0"/>
                <wp:wrapNone/>
                <wp:docPr id="75" name="Frame6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BENEFICIAL OWNERSHIP OF CAPITAL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certain information as of April 27, 2026 (unless otherwise specified), with respect to the beneficial ownership of our Common Stock and Convertible Preferred Stock by each person who is known to own beneficially more than 5% of the outstanding shares of such securities, each person currently serving as a director, each director nominee, each named executive officer, and all directors and executive officers as a group.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Shares of Common Stock subject to options, restricted stock units, or other rights to purchase which were as of April 27, 2026 exercisable or convertible into Common Stock, or would be exercisable or convertible into Common Stock within 60 days after April 27, 2026, are to be considered outstanding for purposes of computing the number of shares beneficially owned and the percentage ownership of the persons holding these options or other rights, but are not to be considered outstanding for the purpose of computing the number of shares beneficially owned or the percentage ownership of any other person. As of April 27, 2026, there were 68,530,107 shares of Common Stock outstanding and 115,000 shares of Convertible Preferred Stock outstanding. Unless otherwise indicated, the address for each beneficial owner is c/o Rhythm Pharmaceuticals, Inc., 222 Berkeley Street, 12th Floor, Boston, MA 02116.</w:t>
      </w:r>
    </w:p>
    <w:tbl>
      <w:tblPr>
        <w:tblW w:w="10205" w:type="dxa"/>
        <w:jc w:val="left"/>
        <w:tblInd w:w="0" w:type="dxa"/>
        <w:tblLayout w:type="fixed"/>
        <w:tblCellMar>
          <w:top w:w="28" w:type="dxa"/>
          <w:left w:w="28" w:type="dxa"/>
          <w:bottom w:w="28" w:type="dxa"/>
          <w:right w:w="28" w:type="dxa"/>
        </w:tblCellMar>
      </w:tblPr>
      <w:tblGrid>
        <w:gridCol w:w="2358"/>
        <w:gridCol w:w="2033"/>
        <w:gridCol w:w="2040"/>
        <w:gridCol w:w="109"/>
        <w:gridCol w:w="109"/>
        <w:gridCol w:w="109"/>
        <w:gridCol w:w="504"/>
        <w:gridCol w:w="504"/>
        <w:gridCol w:w="506"/>
        <w:gridCol w:w="109"/>
        <w:gridCol w:w="109"/>
        <w:gridCol w:w="109"/>
        <w:gridCol w:w="468"/>
        <w:gridCol w:w="468"/>
        <w:gridCol w:w="670"/>
      </w:tblGrid>
      <w:tr>
        <w:trPr/>
        <w:tc>
          <w:tcPr>
            <w:tcW w:w="2358"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64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 and Address of Beneficial Owner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 Shares</w:t>
              <w:br/>
              <w:t>of Common Stock</w:t>
              <w:br/>
              <w:t>Beneficially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Percentage of Shares</w:t>
              <w:br/>
              <w:t>of Common Stock</w:t>
              <w:br/>
              <w:t>Beneficially Owned</w:t>
            </w:r>
          </w:p>
        </w:tc>
      </w:tr>
      <w:tr>
        <w:trPr/>
        <w:tc>
          <w:tcPr>
            <w:tcW w:w="643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5% or Greater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Entities affiliated with RA Capital Management, LLC(1)</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 RA Capital Management, L.P. 200 Berkeley Street, 18th Floor, Boston, MA 02116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6,666,837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Entities affiliated with Baker Bros. Advisors LP(2)</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 Baker Bros. Advisors LP 860 Washington Street, 3rd Floor New York, NY 10014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Entities affiliated with Perceptive Advisors LLC.(3)</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 Astor Place, 10th Floor New York, NY 10003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3,519,626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BlackRock, Inc.(4)</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55 East 52nd Street New York, NY 10055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Entities affiliated with PRIMECAP Management Company(5)</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77 E. Colorado Blvd., 11th Floor Pasadena, CA 91105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Directors and Named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David P. Meeker, M.D.(6)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Hunter C. Smith(7)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3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Yann Mazabraud(8)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3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Jennifer Lee(9)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3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Alastair Garfield(10)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3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Stuart A. Arbuckle(11)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3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Jennifer Good(12)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3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Christophe R. Jean(13)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3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David W.J. McGirr(14)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3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Kimberly J. Popovits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3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Lynn A. Tetrault, J.D.(15)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3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All executive officers and directors as a group (13 persons)(16)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*Represents beneficial ownership of less than 1%.</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None of the shares are pledged as security.</w:t>
      </w:r>
    </w:p>
    <w:p>
      <w:pPr>
        <w:pStyle w:val="TextBody"/>
        <w:bidi w:val="0"/>
        <w:spacing w:lineRule="auto" w:line="276"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(1)Based solely on a Schedule 13G/A filed on February 17, 2026. Consists of 6,666,837 shares held directly by RA Capital Healthcare Fund, L.P., or RAC Healthcare. The general partner of RA Capital Management, L.P., or RA Capital, is RA Capital Management GP, LLC, of which Peter Kolchinsky and Rajeev Shah are the controlling persons. RA Capital serves as investment adviser for RAC Healthcare and may be deemed a beneficial owner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51485"/>
                <wp:effectExtent l="0" t="0" r="0" b="0"/>
                <wp:wrapNone/>
                <wp:docPr id="76" name="Frame6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the shares directly owned by RA Capital. As managers of RA Capital, Dr. Kolchinsky and Mr. Shah may be deemed beneficial owners of the shares beneficially owned by RA Capital. RAC Healthcare has delegated to RA Capital the sole power to vote and dispose of all securities held by RAC Healthcare and may not revoke that delegation on less than 61 days’ notice. RA Capital, Dr. Kolchinsky and Mr. Shah each disclaim beneficial ownership of all shares held by RAC Healthcare. According to the cover page of the Schedule 13G/A, each of RA Capital, Dr. Kolchinsky, Mr. Shah and RAC Healthcare has shared voting and dispositive power over 6,666,837 shares.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a Schedule 13G/A filed on May 15, 2025. Common Stock consists of (i) 366,854 shares of Common Stock and 103,437 shares of Common Stock issuable upon conversion of Convertible Preferred Stock held by 667, L.P. and (ii) 3,987,631 shares of Common Stock and 1,146,561 shares of Common Stock issuable upon conversion of the Convertible Preferred Stock held by Baker Brothers Life Sciences, L.P. Pursuant to management agreements among Baker Bros. Advisors LP (the “Adviser”), 667. L.P. and Baker Brothers Life Sciences, L.P. (together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 Baker Bros. Advisors (GP) LLC (the “Adviser GP”) is the sole general partner of the Adviser. The Adviser GP, Felix J. Baker and Julian C. Baker as managing members of the Adviser GP, and the Adviser may be deemed to be beneficial owners of the common shares directly held by the Funds. The terms of the Convertible Preferred Stock prohibit the conversion thereof to the extent that, upon such conversion, the number of shares of Common Stock then beneficially owned by the holder and its affiliates would exceed 4.99%. Accordingly, notwithstanding the number of shares reported, each of 667, L.P. and Baker Brothers Life Sciences, L.P. disclaims beneficial ownership of the shares of Common Stock issuable upon conversion of the Convertible Preferred Stock to the extent that upon such conversion, the number of shares beneficially owned by 667, L.P., Baker Brothers Life Sciences, L.P., and their affiliates, in the aggregate, would exceed 4.99%.</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a Schedule 13G/A filed on May 15, 2025 and information known to us. Common Stock consists of (i) 729,165 shares of Common Stock issuable upon conversion of the Convertible Preferred Stock held by Perceptive Capital Solutions Holdings LP (formerly Perceptive Discovery ID LP), over which it has shared voting and dispositive power, and (ii) 2,373,795 shares of Common Stock and 416,666 shares of Common Stock issuable upon conversion of the Convertible Preferred Stock held by Perceptive Life Sciences Master Fund, Ltd, over which it has shared voting and dispositive power. The terms of the Convertible Preferred Stock prohibit the conversion thereof to the extent that, upon such conversion, the number of shares of Common Stock then beneficially owned by the holder and its affiliates would exceed 9.99%. Perceptive Advisors LLC serves as the investment manager to Perceptive Life Sciences Master Fund, Ltd. and may be deemed to beneficially own shares held by Perceptive Life Sciences Master Fund, Ltd. Perceptive Discovery Advisors LP serves as the investment manager to Perceptive Capital Solutions Holdings LP and may be deemed to beneficially own shares held by Perceptive Capital Solutions Holdings LP. Joseph Edelman is the managing member of Perceptive Advisors LLC and may be deemed to beneficially own the shares held by Perceptive Life Sciences Fund, Ltd and Perceptive Capital Solutions Holdings LP. Perceptive Discovery GP LLC is the general partner of Perceptive Capital Solutions Holdings LP, and is managed by Perceptive Discovery Advisors LP, a relying advisor of Perceptive Advisors LLC.</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(4)Based solely on a Schedule 13G/A filed on April 24, 2025. BlackRock, Inc. has sole voting power over 4,304,827 shares and sole dispositive power over 4,364,700 shares.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(5)Based solely on a Schedule 13G/A filed on February 12, 2026. PRIMECAP Management Company has sole voting and dispositive power over 3,478,669 shares.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(6)Consists of (i) 239,258 shares of Common Stock and (ii) 2,140,407 shares of Common Stock underlying options that are exercisable within 60 days of April 27, 2026.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(7)Consists of (i) 116,661 shares of Common Stock and (ii) 496,300 shares of Common Stock underlying options that are exercisable within 60 days of April 27, 2026.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(8)Consists of (i) 66,030 shares of Common Stock and (ii) 214,875 shares of Common Stock underlying options that are exercisable within 60 days of April 27,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51485"/>
                <wp:effectExtent l="0" t="0" r="0" b="0"/>
                <wp:wrapNone/>
                <wp:docPr id="77" name="Frame7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(9)Consists of (i) 19,233 shares of Common Stock and (ii) 225,004 shares of Common Stock underlying options that are exercisable within 60 days of April 27, 2026.</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(10)Consists of (i) 7,763 shares of Common Stock and (ii) 37,395 shares of Common Stock underlying options that are exercisable within 60 days of April 27, 2026.</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(11)Consists of (i) 7,000 shares of Common Stock, (ii) 118,537 shares of Common Stock underlying options that are exercisable within 60 days of April 27, 2026 and (iii) 4,712 restricted stock units that will vest within 60 days of April 27, 2026.</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(12)Consists of (i) 7,000 shares of Common Stock, (ii) 35,037 shares of Common Stock underlying options that are exercisable within 60 days of April 27, 2026 and (iii) 4,712 restricted stock units that will vest within 60 days of April 27, 2026.</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(13)Consists of (i) 7,000 shares of Common Stock, (ii) 113,537 shares of Common Stock underlying options that are exercisable within 60 days of April 27, 2026 and (iii) 4,712 restricted stock units that will vest within 60 days of April 27, 2026.</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(14)Consists of (i) 7,000 shares of Common Stock and (ii) 135,347 shares of Common Stock underlying options that are exercisable within 60 days of April 27, 2026 and (iii) 4,712 restricted stock units that will vest within 60 days of April 27, 2026.</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(15)Consists of (i) 7,000 shares of Common Stock, (ii) 72,037 shares of Common Stock underlying options that are exercisable within 60 days of April 27, 2026 and (iii) 4,712 restricted stock units that will vest within 60 days of April 27, 2026.</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(16)Consists of (i) 532,291 shares of Common Stock, (ii) 3,689,323 shares of Common Stock underlying options that are exercisable with 60 days of April 27, 2026 and (iii) 23,560 restricted stock units that will vest within 60 days of April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451485"/>
                <wp:effectExtent l="0" t="0" r="0" b="0"/>
                <wp:wrapNone/>
                <wp:docPr id="78" name="Frame7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CERTAIN RELATIONSHIPS AND RELATED PARTY TRANSACTIONS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Related Party Transactions Policy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Board has adopted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prior review and approval of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material interest must first be presented to our Audit Committee for review, consideration and approval. In approving or rejecting any such proposal, our Audit Committee is to consider the material facts of the transaction, including, but not limited to, whether the transaction is on terms no less favorable than terms generally available to an unaffiliated third party under the same or similar circumstances and the extent of the related person’s interest in the transaction.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Since January 1, 2025, we have been a party to the following transactions or series of similar transactions, in which:</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amounts involved exceeded or will exceed $120,000;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of the directors, nominees for election as a director, executive officers or holders of more than 5% of our voting equity, or any member of the immediate family of the foregoing persons, had or will have a direct or indirect material interest.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Compensation termination, change in control and other arrangements for our directors and named executive officers are described under “Executive Compensation.”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Director and Officer Indemnification and Insurance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51485"/>
                <wp:effectExtent l="0" t="0" r="0" b="0"/>
                <wp:wrapNone/>
                <wp:docPr id="79" name="Frame7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GENERAL MATTERS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Availability of Certain Documents</w:t>
      </w:r>
    </w:p>
    <w:p>
      <w:pPr>
        <w:pStyle w:val="TextBody"/>
        <w:bidi w:val="0"/>
        <w:spacing w:lineRule="auto" w:line="288" w:before="0" w:after="240"/>
        <w:jc w:val="left"/>
        <w:rPr/>
      </w:pPr>
      <w:r>
        <w:rPr>
          <w:rFonts w:ascii="Times New Roman;serif" w:hAnsi="Times New Roman;serif"/>
          <w:b w:val="false"/>
          <w:color w:val="000000"/>
          <w:sz w:val="20"/>
        </w:rPr>
        <w:t xml:space="preserve">A copy of our Annual Report to securityholders has been posted on our website along with this Proxy Statement at </w:t>
      </w:r>
      <w:r>
        <w:rPr>
          <w:rFonts w:ascii="Times New Roman;serif" w:hAnsi="Times New Roman;serif"/>
          <w:b w:val="false"/>
          <w:i/>
          <w:color w:val="000000"/>
          <w:sz w:val="20"/>
        </w:rPr>
        <w:t xml:space="preserve">www.edocumentview.com/RYTM </w:t>
      </w:r>
      <w:r>
        <w:rPr>
          <w:rFonts w:ascii="Times New Roman;serif" w:hAnsi="Times New Roman;serif"/>
          <w:b w:val="false"/>
          <w:color w:val="000000"/>
          <w:sz w:val="20"/>
        </w:rPr>
        <w:t>or</w:t>
      </w:r>
      <w:r>
        <w:rPr>
          <w:color w:val="000000"/>
        </w:rPr>
        <w:t xml:space="preserve"> </w:t>
      </w:r>
      <w:r>
        <w:rPr>
          <w:rFonts w:ascii="Times New Roman;serif" w:hAnsi="Times New Roman;serif"/>
          <w:b w:val="false"/>
          <w:i/>
          <w:color w:val="000000"/>
          <w:sz w:val="20"/>
        </w:rPr>
        <w:t>www.rhythmtx.com</w:t>
      </w:r>
      <w:r>
        <w:rPr>
          <w:color w:val="000000"/>
        </w:rPr>
        <w:t xml:space="preserve"> </w:t>
      </w:r>
      <w:r>
        <w:rPr>
          <w:rFonts w:ascii="Times New Roman;serif" w:hAnsi="Times New Roman;serif"/>
          <w:b w:val="false"/>
          <w:color w:val="000000"/>
          <w:sz w:val="20"/>
        </w:rPr>
        <w:t>under “Investors &amp; Media” at “SEC Filings.” We will mail or email without charge, upon written request, a copy of our Annual Report to securityholders including financial statements and schedules thereto but excluding exhibits. A reasonable fee will be charged for copies of exhibits. Please send a written request to our Secretary at: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Rhythm Pharmaceuticals,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222 Berkeley Street, 12th Floor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Boston, MA 02116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Attention: Secretary</w:t>
      </w:r>
    </w:p>
    <w:p>
      <w:pPr>
        <w:pStyle w:val="TextBody"/>
        <w:bidi w:val="0"/>
        <w:spacing w:lineRule="auto" w:line="288" w:before="0" w:after="240"/>
        <w:jc w:val="left"/>
        <w:rPr/>
      </w:pPr>
      <w:r>
        <w:rPr>
          <w:rFonts w:ascii="Times New Roman;serif" w:hAnsi="Times New Roman;serif"/>
          <w:b w:val="false"/>
          <w:color w:val="000000"/>
          <w:sz w:val="20"/>
        </w:rPr>
        <w:t xml:space="preserve">You may also find a copy of this Proxy Statement and our Annual Report to securityholders (with exhibits) on the SEC’s website at </w:t>
      </w:r>
      <w:r>
        <w:rPr>
          <w:rFonts w:ascii="Times New Roman;serif" w:hAnsi="Times New Roman;serif"/>
          <w:b w:val="false"/>
          <w:i/>
          <w:color w:val="000000"/>
          <w:sz w:val="20"/>
        </w:rPr>
        <w:t>www.sec.gov</w:t>
      </w:r>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Stockholders Sharing an Address / Householding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SEC has adopted rules that permit companies and intermediaries (such as banks and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Only one copy of our 2025 Annual Report and this Proxy Statement is being delivered to multiple stockholders sharing an address, unless we have received contrary instructions from one or more of the stockholders.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will undertake to deliver promptly, upon written or oral request, a separate copy to a stockholder at a shared address to which a single copy of the 2025 Annual Report and this Proxy Statement was delivered. To receive a separate copy of our 2025 Annual Report or Proxy Statement, or to receive separate copies in the future, or if two stockholders sharing an address have received two copies of any of these documents and desire to only receive one, you may write the Secretary of Rhythm Pharmaceuticals, Inc. at our principal executive offices at 222 Berkeley Street, 12th Floor, Boston, MA 02116 or call the Secretary at (857) 264-4280.</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Stockholder Proposals and Nominations</w:t>
      </w:r>
    </w:p>
    <w:p>
      <w:pPr>
        <w:pStyle w:val="TextBody"/>
        <w:bidi w:val="0"/>
        <w:spacing w:lineRule="auto" w:line="288" w:before="0" w:after="240"/>
        <w:jc w:val="left"/>
        <w:rPr/>
      </w:pPr>
      <w:r>
        <w:rPr>
          <w:rFonts w:ascii="Times New Roman;serif" w:hAnsi="Times New Roman;serif"/>
          <w:b w:val="false"/>
          <w:i/>
          <w:color w:val="000000"/>
          <w:sz w:val="20"/>
        </w:rPr>
        <w:t>Stockholder Proposals to be Considered for Inclusion in our Proxy Materials</w:t>
      </w:r>
      <w:r>
        <w:rPr>
          <w:rFonts w:ascii="Times New Roman;serif" w:hAnsi="Times New Roman;serif"/>
          <w:b w:val="false"/>
          <w:color w:val="000000"/>
          <w:sz w:val="20"/>
        </w:rPr>
        <w:t xml:space="preserve">. Under Rule 14a-8 of the Exchange Act, to submit a proposal for inclusion in our Proxy Statement for the 2027 Annual Meeting of Stockholders, stockholder proposals must be received no later than the close of business on January 6, 2027 or, if the date of the 2027 Annual Meeting of Stockholders is changed by more than 30 days from June 24, 2027, a reasonable time before we begin to print and send our proxy materials, by our Secretary at our principal executive offices at 222 Berkeley Street, 12th Floor, Boston, MA 02116. </w:t>
      </w:r>
    </w:p>
    <w:p>
      <w:pPr>
        <w:pStyle w:val="TextBody"/>
        <w:bidi w:val="0"/>
        <w:spacing w:lineRule="auto" w:line="288" w:before="0" w:after="240"/>
        <w:jc w:val="left"/>
        <w:rPr/>
      </w:pPr>
      <w:r>
        <w:rPr>
          <w:rFonts w:ascii="Times New Roman;serif" w:hAnsi="Times New Roman;serif"/>
          <w:b w:val="false"/>
          <w:i/>
          <w:color w:val="000000"/>
          <w:sz w:val="20"/>
        </w:rPr>
        <w:t>Other Proposals or Nominees for Presentation at the 2027 Annual Meeting</w:t>
      </w:r>
      <w:r>
        <w:rPr>
          <w:rFonts w:ascii="Times New Roman;serif" w:hAnsi="Times New Roman;serif"/>
          <w:b w:val="false"/>
          <w:color w:val="000000"/>
          <w:sz w:val="20"/>
        </w:rPr>
        <w:t xml:space="preserve">. Our Amended and Restated Bylaws provide that, for stockholder nominations to the Board or other business to be considered at the 2027 annual meeting of stockholders, the stockholder’s notice must be delivered to, or mailed and received at, our principal executive offices not less than 90 days nor more than 120 days prior to the first anniversary of the preceding year’s annual meeting. Therefore, we must receive notice of such a proposal or nomination for the 2027 Annual Meeting no earlier than February 24, 2027 and no later than March 26, 2027; provided, however, that if the date of the 2027 annual meeting is more than 30 days before or more than 60 days after such anniversary date, the notice must be delivered, or mailed and received, not more than the 120th days prior to the 2027 annual meeting and not later than (i) the 90th day prior to the 2027 annual meeting or, (ii) if later, the 10th day following the day on which we publicly disclose the date of the 2027 annual meeting. Such notice must provide the information required by Section 2.12(c) of our bylaws with respect to each nomination or matter the stockholder proposes to bring before the 2027 annual meeting of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51485"/>
                <wp:effectExtent l="0" t="0" r="0" b="0"/>
                <wp:wrapNone/>
                <wp:docPr id="80" name="Frame7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8f09a4a80d7648abab6aacbc9533b618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To comply with the universal proxy rules and our Amended and Restated Bylaws, stockholders who intend to solicit proxies in support of director nominees other than the Company’s nominees must provide notice that sets forth the information required by Rule 14a-19 under the Exchange Act in the timeframe noted above. </w:t>
      </w:r>
    </w:p>
    <w:p>
      <w:pPr>
        <w:pStyle w:val="TextBody"/>
        <w:bidi w:val="0"/>
        <w:spacing w:lineRule="auto" w:line="288" w:before="0" w:after="240"/>
        <w:jc w:val="left"/>
        <w:rPr/>
      </w:pPr>
      <w:r>
        <w:rPr>
          <w:rFonts w:ascii="Times New Roman;serif" w:hAnsi="Times New Roman;serif"/>
          <w:b w:val="false"/>
          <w:color w:val="000000"/>
          <w:sz w:val="20"/>
        </w:rPr>
        <w:t xml:space="preserve">Stockholders may obtain our Proxy Statement (and any amendments and supplements thereto) and other documents as and when filed by us with the SEC without charge from the SEC’s website at: </w:t>
      </w:r>
      <w:r>
        <w:rPr>
          <w:rFonts w:ascii="Times New Roman;serif" w:hAnsi="Times New Roman;serif"/>
          <w:b w:val="false"/>
          <w:i/>
          <w:color w:val="000000"/>
          <w:sz w:val="20"/>
        </w:rPr>
        <w:t>www.sec.gov</w:t>
      </w:r>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the date of this Proxy Statement, the Board does not intend to present any matters other than those described herein at the Annual Meeting and is unaware of any matters to be presented by other parties. If other matters are properly brought before the meeting for action by the stockholders, proxies will be voted in accordance with the recommendation of the Board or, in the absence of such a recommendation, in accordance with the judgment of the proxy holder.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Whether or not you plan to attend the Annual Meeting virtually, we urge you to vote your shares promptly.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proxy statement contains forward-looking statements within the meaning of the Private Securities Litigation Reform Act of 1995. All statements contained in this proxy statement that do not relate to matters of historical fact should be considered forward-looking statements, including without limitation statements regarding our liquidity and expectations on financing activities, timing of clinical trials and announcement of results. Statements using words such as “expect”, “anticipate”, “believe”, “may”, “will” and similar terms are also forward-looking statements. Such statements are subject to numerous risks and uncertainties, including, but not limited to, our ability to enroll patients in clinical trials, the design and outcome of clinical trials, the impact of competition, the ability to achieve or obtain necessary regulatory approvals, risks associated with data analysis and reporting, unfavorable pricing regulations, third-party reimbursement practices or healthcare reform initiatives, risks associated with the laws and regulations governing our international operations and the costs of any related compliance programs, our ability to successfully commercialize setmelanotide, our liquidity and expenses, our ability to retain our key employees and consultants, and to attract, retain and motivate qualified personnel, and general economic conditions, and the other important factors, including those discussed under the caption “Risk Factors” in Rhythm’s Annual Report on Form 10-K for the year ended December 31, 2025 and our other filings with the Securities and Exchange Commission. Except as required by law, we undertake no obligations to make any revisions to the forward-looking statements contained in this proxy statement or to update them to reflect events or circumstances occurring after the date of this proxy statement, whether as a result of new information, future developments or otherwise. </w:t>
      </w:r>
    </w:p>
    <w:p>
      <w:pPr>
        <w:pStyle w:val="TextBody"/>
        <w:bidi w:val="0"/>
        <w:spacing w:before="0" w:after="0"/>
        <w:jc w:val="left"/>
        <w:rPr/>
      </w:pPr>
      <w:r>
        <w:rPr/>
      </w:r>
    </w:p>
    <w:p>
      <w:pPr>
        <w:pStyle w:val="TextBody"/>
        <w:bidi w:val="0"/>
        <w:spacing w:before="0" w:after="0"/>
        <w:jc w:val="left"/>
        <w:rPr/>
      </w:pPr>
      <w:r>
        <w:rPr/>
      </w:r>
    </w:p>
    <w:tbl>
      <w:tblPr>
        <w:tblW w:w="3612" w:type="dxa"/>
        <w:jc w:val="left"/>
        <w:tblInd w:w="0" w:type="dxa"/>
        <w:tblLayout w:type="fixed"/>
        <w:tblCellMar>
          <w:top w:w="28" w:type="dxa"/>
          <w:left w:w="28" w:type="dxa"/>
          <w:bottom w:w="28" w:type="dxa"/>
          <w:right w:w="28" w:type="dxa"/>
        </w:tblCellMar>
      </w:tblPr>
      <w:tblGrid>
        <w:gridCol w:w="124"/>
        <w:gridCol w:w="109"/>
        <w:gridCol w:w="109"/>
        <w:gridCol w:w="956"/>
        <w:gridCol w:w="956"/>
        <w:gridCol w:w="13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David P. Meeker, M.D.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P. Meeker, M.D.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Chairman of the Board, President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51485"/>
                <wp:effectExtent l="0" t="0" r="0" b="0"/>
                <wp:wrapNone/>
                <wp:docPr id="81" name="Frame7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6286500" cy="8134350"/>
            <wp:effectExtent l="0" t="0" r="0" b="0"/>
            <wp:docPr id="8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 descr=""/>
                    <pic:cNvPicPr>
                      <a:picLocks noChangeAspect="1" noChangeArrowheads="1"/>
                    </pic:cNvPicPr>
                  </pic:nvPicPr>
                  <pic:blipFill>
                    <a:blip r:embed="rId9"/>
                    <a:stretch>
                      <a:fillRect/>
                    </a:stretch>
                  </pic:blipFill>
                  <pic:spPr bwMode="auto">
                    <a:xfrm>
                      <a:off x="0" y="0"/>
                      <a:ext cx="6286500" cy="8134350"/>
                    </a:xfrm>
                    <a:prstGeom prst="rect">
                      <a:avLst/>
                    </a:prstGeom>
                  </pic:spPr>
                </pic:pic>
              </a:graphicData>
            </a:graphic>
          </wp:inline>
        </w:drawing>
      </w:r>
      <w:bookmarkStart w:id="7" w:name="i-8"/>
      <w:bookmarkEnd w:id="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3"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6286500" cy="8134350"/>
            <wp:effectExtent l="0" t="0" r="0" b="0"/>
            <wp:docPr id="8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9" descr=""/>
                    <pic:cNvPicPr>
                      <a:picLocks noChangeAspect="1" noChangeArrowheads="1"/>
                    </pic:cNvPicPr>
                  </pic:nvPicPr>
                  <pic:blipFill>
                    <a:blip r:embed="rId10"/>
                    <a:stretch>
                      <a:fillRect/>
                    </a:stretch>
                  </pic:blipFill>
                  <pic:spPr bwMode="auto">
                    <a:xfrm>
                      <a:off x="0" y="0"/>
                      <a:ext cx="6286500" cy="8134350"/>
                    </a:xfrm>
                    <a:prstGeom prst="rect">
                      <a:avLst/>
                    </a:prstGeom>
                  </pic:spPr>
                </pic:pic>
              </a:graphicData>
            </a:graphic>
          </wp:inline>
        </w:drawing>
      </w:r>
      <w:bookmarkStart w:id="8" w:name="i-9"/>
      <w:bookmarkEnd w:id="8"/>
    </w:p>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35717</Words>
  <Characters>198498</Characters>
  <CharactersWithSpaces>232852</CharactersWithSpaces>
  <Paragraphs>2511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