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40"/>
        <w:jc w:val="center"/>
        <w:rPr>
          <w:rFonts w:ascii="Times New Roman;serif" w:hAnsi="Times New Roman;serif"/>
          <w:b/>
          <w:color w:val="000000"/>
          <w:sz w:val="14"/>
        </w:rPr>
      </w:pPr>
      <w:r>
        <w:rPr>
          <w:rFonts w:ascii="Times New Roman;serif" w:hAnsi="Times New Roman;serif"/>
          <w:b/>
          <w:color w:val="000000"/>
          <w:sz w:val="14"/>
        </w:rPr>
        <w:t>Washington, D.C. 20549</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FORM 10-Q</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 the quarterly period ended March 31, 2026</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 the transition period from       to </w:t>
      </w:r>
    </w:p>
    <w:p>
      <w:pPr>
        <w:pStyle w:val="TextBody"/>
        <w:bidi w:val="0"/>
        <w:spacing w:lineRule="auto" w:line="288" w:before="0" w:after="40"/>
        <w:jc w:val="center"/>
        <w:rPr>
          <w:color w:val="000000"/>
        </w:rPr>
      </w:pPr>
      <w:r>
        <w:rPr>
          <w:color w:val="000000"/>
        </w:rPr>
        <w:t>             </w:t>
      </w:r>
      <w:r>
        <w:rPr>
          <w:rFonts w:ascii="Times New Roman;serif" w:hAnsi="Times New Roman;serif"/>
          <w:b/>
          <w:color w:val="000000"/>
          <w:sz w:val="14"/>
        </w:rPr>
        <w:t>Commission file number 001-38223</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RHYTHM PHARMACEUTICALS, INC.</w:t>
      </w:r>
    </w:p>
    <w:p>
      <w:pPr>
        <w:pStyle w:val="TextBody"/>
        <w:bidi w:val="0"/>
        <w:spacing w:lineRule="auto" w:line="288" w:before="0" w:after="4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tbl>
      <w:tblPr>
        <w:tblW w:w="3089" w:type="dxa"/>
        <w:jc w:val="center"/>
        <w:tblInd w:w="0" w:type="dxa"/>
        <w:tblLayout w:type="fixed"/>
        <w:tblCellMar>
          <w:top w:w="28" w:type="dxa"/>
          <w:left w:w="28" w:type="dxa"/>
          <w:bottom w:w="28" w:type="dxa"/>
          <w:right w:w="28" w:type="dxa"/>
        </w:tblCellMar>
      </w:tblPr>
      <w:tblGrid>
        <w:gridCol w:w="677"/>
        <w:gridCol w:w="594"/>
        <w:gridCol w:w="603"/>
        <w:gridCol w:w="356"/>
        <w:gridCol w:w="356"/>
        <w:gridCol w:w="503"/>
      </w:tblGrid>
      <w:tr>
        <w:trPr/>
        <w:tc>
          <w:tcPr>
            <w:tcW w:w="6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Delaware</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46-2159271</w:t>
            </w:r>
          </w:p>
        </w:tc>
      </w:tr>
      <w:tr>
        <w:trPr/>
        <w:tc>
          <w:tcPr>
            <w:tcW w:w="1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r>
          </w:p>
        </w:tc>
      </w:tr>
      <w:tr>
        <w:trPr/>
        <w:tc>
          <w:tcPr>
            <w:tcW w:w="1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Identification No.)</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222 Berkeley Street</w:t>
      </w:r>
    </w:p>
    <w:p>
      <w:pPr>
        <w:pStyle w:val="TextBody"/>
        <w:bidi w:val="0"/>
        <w:spacing w:lineRule="auto" w:line="288" w:before="0" w:after="0"/>
        <w:jc w:val="center"/>
        <w:rPr/>
      </w:pPr>
      <w:r>
        <w:rPr>
          <w:rFonts w:ascii="Times New Roman;serif" w:hAnsi="Times New Roman;serif"/>
          <w:b/>
          <w:color w:val="000000"/>
          <w:sz w:val="14"/>
        </w:rPr>
        <w:t>12</w:t>
      </w:r>
      <w:r>
        <w:rPr>
          <w:rFonts w:ascii="Times New Roman;serif" w:hAnsi="Times New Roman;serif"/>
          <w:b/>
          <w:color w:val="000000"/>
          <w:sz w:val="9"/>
        </w:rPr>
        <w:t>th</w:t>
      </w:r>
      <w:r>
        <w:rPr>
          <w:color w:val="000000"/>
        </w:rPr>
        <w:t xml:space="preserve"> </w:t>
      </w:r>
      <w:r>
        <w:rPr>
          <w:rFonts w:ascii="Times New Roman;serif" w:hAnsi="Times New Roman;serif"/>
          <w:b/>
          <w:color w:val="000000"/>
          <w:sz w:val="14"/>
        </w:rPr>
        <w:t>Floor</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Boston, MA 02116</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p>
      <w:pPr>
        <w:pStyle w:val="TextBody"/>
        <w:bidi w:val="0"/>
        <w:spacing w:lineRule="auto" w:line="288" w:before="0" w:after="140"/>
        <w:jc w:val="center"/>
        <w:rPr>
          <w:rFonts w:ascii="Times New Roman;serif" w:hAnsi="Times New Roman;serif"/>
          <w:b w:val="false"/>
          <w:color w:val="000000"/>
          <w:sz w:val="14"/>
        </w:rPr>
      </w:pPr>
      <w:r>
        <w:rPr>
          <w:rFonts w:ascii="Times New Roman;serif" w:hAnsi="Times New Roman;serif"/>
          <w:b w:val="false"/>
          <w:color w:val="000000"/>
          <w:sz w:val="14"/>
        </w:rPr>
        <w:t>(Zip Code)</w:t>
      </w:r>
    </w:p>
    <w:p>
      <w:pPr>
        <w:pStyle w:val="TextBody"/>
        <w:bidi w:val="0"/>
        <w:spacing w:lineRule="auto" w:line="288" w:before="0" w:after="0"/>
        <w:jc w:val="center"/>
        <w:rPr/>
      </w:pPr>
      <w:r>
        <w:rPr>
          <w:rFonts w:ascii="Times New Roman;serif" w:hAnsi="Times New Roman;serif"/>
          <w:b w:val="false"/>
          <w:color w:val="000000"/>
          <w:sz w:val="14"/>
        </w:rPr>
        <w:t>(</w:t>
      </w:r>
      <w:r>
        <w:rPr>
          <w:rFonts w:ascii="Times New Roman;serif" w:hAnsi="Times New Roman;serif"/>
          <w:b/>
          <w:color w:val="000000"/>
          <w:sz w:val="14"/>
        </w:rPr>
        <w:t>857) 264-4280</w:t>
      </w:r>
    </w:p>
    <w:p>
      <w:pPr>
        <w:pStyle w:val="TextBody"/>
        <w:bidi w:val="0"/>
        <w:spacing w:lineRule="auto" w:line="288" w:before="0" w:after="120"/>
        <w:jc w:val="center"/>
        <w:rPr>
          <w:rFonts w:ascii="Times New Roman;serif" w:hAnsi="Times New Roman;serif"/>
          <w:b w:val="false"/>
          <w:color w:val="000000"/>
          <w:sz w:val="14"/>
        </w:rPr>
      </w:pPr>
      <w:r>
        <w:rPr>
          <w:rFonts w:ascii="Times New Roman;serif" w:hAnsi="Times New Roman;serif"/>
          <w:b w:val="false"/>
          <w:color w:val="000000"/>
          <w:sz w:val="14"/>
        </w:rPr>
        <w:t>(Registrant’s Telephone Number, Including Area Code)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N/A</w:t>
      </w:r>
    </w:p>
    <w:p>
      <w:pPr>
        <w:pStyle w:val="TextBody"/>
        <w:bidi w:val="0"/>
        <w:spacing w:lineRule="auto" w:line="288" w:before="0" w:after="140"/>
        <w:jc w:val="center"/>
        <w:rPr>
          <w:rFonts w:ascii="Times New Roman;serif" w:hAnsi="Times New Roman;serif"/>
          <w:b w:val="false"/>
          <w:color w:val="000000"/>
          <w:sz w:val="14"/>
        </w:rPr>
      </w:pPr>
      <w:r>
        <w:rPr>
          <w:rFonts w:ascii="Times New Roman;serif" w:hAnsi="Times New Roman;serif"/>
          <w:b w:val="false"/>
          <w:color w:val="000000"/>
          <w:sz w:val="14"/>
        </w:rPr>
        <w:t>(Former Name, Former Address and Former Fiscal Year, if Changed Since Last Report)</w:t>
      </w:r>
    </w:p>
    <w:p>
      <w:pPr>
        <w:pStyle w:val="TextBody"/>
        <w:bidi w:val="0"/>
        <w:spacing w:lineRule="auto" w:line="288" w:before="0" w:after="200"/>
        <w:jc w:val="left"/>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7018" w:type="dxa"/>
        <w:jc w:val="left"/>
        <w:tblInd w:w="0" w:type="dxa"/>
        <w:tblLayout w:type="fixed"/>
        <w:tblCellMar>
          <w:top w:w="28" w:type="dxa"/>
          <w:left w:w="28" w:type="dxa"/>
          <w:bottom w:w="28" w:type="dxa"/>
          <w:right w:w="28" w:type="dxa"/>
        </w:tblCellMar>
      </w:tblPr>
      <w:tblGrid>
        <w:gridCol w:w="929"/>
        <w:gridCol w:w="814"/>
        <w:gridCol w:w="821"/>
        <w:gridCol w:w="394"/>
        <w:gridCol w:w="394"/>
        <w:gridCol w:w="396"/>
        <w:gridCol w:w="957"/>
        <w:gridCol w:w="957"/>
        <w:gridCol w:w="1356"/>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6" w:space="0" w:color="000000"/>
              <w:left w:val="single" w:sz="6" w:space="0" w:color="000000"/>
            </w:tcBorders>
            <w:tcMar>
              <w:top w:w="30" w:type="dxa"/>
              <w:left w:w="45"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1184" w:type="dxa"/>
            <w:gridSpan w:val="3"/>
            <w:tcBorders>
              <w:top w:val="single" w:sz="6" w:space="0" w:color="000000"/>
              <w:left w:val="single" w:sz="6" w:space="0" w:color="000000"/>
            </w:tcBorders>
            <w:tcMar>
              <w:top w:w="30" w:type="dxa"/>
              <w:left w:w="45"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Trading Symbol(s)</w:t>
            </w:r>
          </w:p>
        </w:tc>
        <w:tc>
          <w:tcPr>
            <w:tcW w:w="3270" w:type="dxa"/>
            <w:gridSpan w:val="3"/>
            <w:tcBorders>
              <w:top w:val="single" w:sz="6" w:space="0" w:color="000000"/>
              <w:left w:val="single" w:sz="6" w:space="0" w:color="000000"/>
              <w:right w:val="single" w:sz="6" w:space="0" w:color="000000"/>
            </w:tcBorders>
            <w:tcMar>
              <w:top w:w="30" w:type="dxa"/>
              <w:left w:w="45" w:type="dxa"/>
              <w:bottom w:w="0" w:type="dxa"/>
              <w:right w:w="45"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 on which registered</w:t>
            </w:r>
          </w:p>
        </w:tc>
      </w:tr>
      <w:tr>
        <w:trPr/>
        <w:tc>
          <w:tcPr>
            <w:tcW w:w="2564" w:type="dxa"/>
            <w:gridSpan w:val="3"/>
            <w:tcBorders>
              <w:top w:val="single" w:sz="6" w:space="0" w:color="000000"/>
              <w:left w:val="single" w:sz="6" w:space="0" w:color="000000"/>
              <w:bottom w:val="single" w:sz="6" w:space="0" w:color="000000"/>
            </w:tcBorders>
            <w:tcMar>
              <w:top w:w="30" w:type="dxa"/>
              <w:left w:w="45"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$0.001 par value per share</w:t>
            </w:r>
          </w:p>
        </w:tc>
        <w:tc>
          <w:tcPr>
            <w:tcW w:w="1184" w:type="dxa"/>
            <w:gridSpan w:val="3"/>
            <w:tcBorders>
              <w:top w:val="single" w:sz="6" w:space="0" w:color="000000"/>
              <w:left w:val="single" w:sz="6" w:space="0" w:color="000000"/>
              <w:bottom w:val="single" w:sz="6" w:space="0" w:color="000000"/>
            </w:tcBorders>
            <w:tcMar>
              <w:top w:w="30" w:type="dxa"/>
              <w:left w:w="45"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RYTM</w:t>
            </w:r>
          </w:p>
        </w:tc>
        <w:tc>
          <w:tcPr>
            <w:tcW w:w="327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 (Nasdaq Global Market)</w:t>
            </w:r>
          </w:p>
        </w:tc>
      </w:tr>
    </w:tbl>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p>
      <w:pPr>
        <w:pStyle w:val="TextBody"/>
        <w:bidi w:val="0"/>
        <w:spacing w:lineRule="auto" w:line="288" w:before="0" w:after="0"/>
        <w:jc w:val="left"/>
        <w:rPr/>
      </w:pPr>
      <w:r>
        <w:rPr>
          <w:rFonts w:ascii="Times New Roman;serif" w:hAnsi="Times New Roman;serif"/>
          <w:b w:val="false"/>
          <w:color w:val="000000"/>
          <w:sz w:val="14"/>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4"/>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4"/>
        </w:rPr>
        <w:t xml:space="preserve">No </w:t>
      </w:r>
      <w:r>
        <w:rPr>
          <w:color w:val="000000"/>
        </w:rPr>
        <w:t>☐</w:t>
      </w:r>
    </w:p>
    <w:p>
      <w:pPr>
        <w:pStyle w:val="TextBody"/>
        <w:bidi w:val="0"/>
        <w:spacing w:lineRule="auto" w:line="288" w:before="0" w:after="14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4"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109"/>
        <w:gridCol w:w="109"/>
        <w:gridCol w:w="109"/>
        <w:gridCol w:w="559"/>
        <w:gridCol w:w="559"/>
        <w:gridCol w:w="56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4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4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200"/>
        <w:jc w:val="left"/>
        <w:rPr/>
      </w:pPr>
      <w:r>
        <w:rPr>
          <w:rFonts w:ascii="Times New Roman;serif" w:hAnsi="Times New Roman;serif"/>
          <w:b w:val="false"/>
          <w:color w:val="000000"/>
          <w:sz w:val="14"/>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4"/>
        </w:rPr>
        <w:t xml:space="preserve">No </w:t>
      </w:r>
      <w:r>
        <w:rPr>
          <w:color w:val="000000"/>
        </w:rPr>
        <w:t>☒</w:t>
      </w:r>
      <w:r>
        <w:rPr>
          <w:rFonts w:ascii="Times New Roman;serif" w:hAnsi="Times New Roman;serif"/>
          <w:b w:val="false"/>
          <w:color w:val="000000"/>
          <w:sz w:val="14"/>
        </w:rPr>
        <w:t>.</w:t>
      </w:r>
    </w:p>
    <w:p>
      <w:pPr>
        <w:pStyle w:val="TextBody"/>
        <w:bidi w:val="0"/>
        <w:spacing w:lineRule="auto" w:line="288" w:before="0" w:after="140"/>
        <w:jc w:val="left"/>
        <w:rPr>
          <w:rFonts w:ascii="Times New Roman;serif" w:hAnsi="Times New Roman;serif"/>
          <w:b w:val="false"/>
          <w:color w:val="000000"/>
          <w:sz w:val="14"/>
        </w:rPr>
      </w:pPr>
      <w:r>
        <w:rPr>
          <w:rFonts w:ascii="Times New Roman;serif" w:hAnsi="Times New Roman;serif"/>
          <w:b w:val="false"/>
          <w:color w:val="000000"/>
          <w:sz w:val="14"/>
        </w:rPr>
        <w:t>The number of shares outstanding of the registrant’s Common Stock as of May 1, 2026 was 68,532,607.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INDEX</w:t>
      </w:r>
    </w:p>
    <w:tbl>
      <w:tblPr>
        <w:tblW w:w="10050" w:type="dxa"/>
        <w:jc w:val="left"/>
        <w:tblInd w:w="0" w:type="dxa"/>
        <w:tblLayout w:type="fixed"/>
        <w:tblCellMar>
          <w:top w:w="28" w:type="dxa"/>
          <w:left w:w="28" w:type="dxa"/>
          <w:bottom w:w="28" w:type="dxa"/>
          <w:right w:w="28" w:type="dxa"/>
        </w:tblCellMar>
      </w:tblPr>
      <w:tblGrid>
        <w:gridCol w:w="472"/>
        <w:gridCol w:w="415"/>
        <w:gridCol w:w="419"/>
        <w:gridCol w:w="2642"/>
        <w:gridCol w:w="2642"/>
        <w:gridCol w:w="2650"/>
        <w:gridCol w:w="236"/>
        <w:gridCol w:w="236"/>
        <w:gridCol w:w="338"/>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Page No.</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0">
              <w:r>
                <w:rPr>
                  <w:rStyle w:val="InternetLink"/>
                  <w:rFonts w:ascii="Times New Roman;serif" w:hAnsi="Times New Roman;serif"/>
                  <w:b w:val="false"/>
                  <w:color w:val="0000FF"/>
                  <w:sz w:val="20"/>
                  <w:u w:val="single"/>
                </w:rPr>
                <w:t>PART I</w:t>
              </w:r>
            </w:hyperlink>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0">
              <w:r>
                <w:rPr>
                  <w:rStyle w:val="InternetLink"/>
                  <w:rFonts w:ascii="Times New Roman;serif" w:hAnsi="Times New Roman;serif"/>
                  <w:b w:val="false"/>
                  <w:color w:val="0000FF"/>
                  <w:sz w:val="20"/>
                  <w:u w:val="single"/>
                </w:rPr>
                <w:t>FINANCIAL INFORMATION</w:t>
              </w:r>
            </w:hyperlink>
          </w:p>
        </w:tc>
        <w:tc>
          <w:tcPr>
            <w:tcW w:w="81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3">
              <w:r>
                <w:rPr>
                  <w:rStyle w:val="InternetLink"/>
                  <w:rFonts w:ascii="Times New Roman;serif" w:hAnsi="Times New Roman;serif"/>
                  <w:b w:val="false"/>
                  <w:color w:val="0000FF"/>
                  <w:sz w:val="20"/>
                  <w:u w:val="single"/>
                </w:rPr>
                <w:t>Item 1. Condensed Consolidated Financial Statements (Unaudited)</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3">
              <w:r>
                <w:rPr>
                  <w:rStyle w:val="InternetLink"/>
                  <w:rFonts w:ascii="Times New Roman;serif" w:hAnsi="Times New Roman;serif"/>
                  <w:b w:val="false"/>
                  <w:strike w:val="false"/>
                  <w:dstrike w:val="false"/>
                  <w:color w:val="000000"/>
                  <w:sz w:val="20"/>
                  <w:u w:val="none"/>
                  <w:effect w:val="none"/>
                </w:rPr>
                <w:t>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6">
              <w:r>
                <w:rPr>
                  <w:rStyle w:val="InternetLink"/>
                  <w:rFonts w:ascii="Times New Roman;serif" w:hAnsi="Times New Roman;serif"/>
                  <w:b w:val="false"/>
                  <w:color w:val="0000FF"/>
                  <w:sz w:val="20"/>
                  <w:u w:val="single"/>
                </w:rPr>
                <w:t>Condensed Consolidated Balance Sheets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6">
              <w:r>
                <w:rPr>
                  <w:rStyle w:val="InternetLink"/>
                  <w:rFonts w:ascii="Times New Roman;serif" w:hAnsi="Times New Roman;serif"/>
                  <w:b w:val="false"/>
                  <w:strike w:val="false"/>
                  <w:dstrike w:val="false"/>
                  <w:color w:val="000000"/>
                  <w:sz w:val="20"/>
                  <w:u w:val="none"/>
                  <w:effect w:val="none"/>
                </w:rPr>
                <w:t>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9">
              <w:r>
                <w:rPr>
                  <w:rStyle w:val="InternetLink"/>
                  <w:rFonts w:ascii="Times New Roman;serif" w:hAnsi="Times New Roman;serif"/>
                  <w:b w:val="false"/>
                  <w:color w:val="0000FF"/>
                  <w:sz w:val="20"/>
                  <w:u w:val="single"/>
                </w:rPr>
                <w:t>Condensed Consolidated Statements of Operations and Comprehensive Loss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9">
              <w:r>
                <w:rPr>
                  <w:rStyle w:val="InternetLink"/>
                  <w:rFonts w:ascii="Times New Roman;serif" w:hAnsi="Times New Roman;serif"/>
                  <w:b w:val="false"/>
                  <w:strike w:val="false"/>
                  <w:dstrike w:val="false"/>
                  <w:color w:val="000000"/>
                  <w:sz w:val="20"/>
                  <w:u w:val="none"/>
                  <w:effect w:val="none"/>
                </w:rPr>
                <w:t>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22">
              <w:r>
                <w:rPr>
                  <w:rStyle w:val="InternetLink"/>
                  <w:rFonts w:ascii="Times New Roman;serif" w:hAnsi="Times New Roman;serif"/>
                  <w:b w:val="false"/>
                  <w:color w:val="0000FF"/>
                  <w:sz w:val="20"/>
                  <w:u w:val="single"/>
                </w:rPr>
                <w:t xml:space="preserve">Condensed Consolidated Statements of Convertible Preferred Stock and Stockholders’ Equity </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22">
              <w:r>
                <w:rPr>
                  <w:rStyle w:val="InternetLink"/>
                  <w:rFonts w:ascii="Times New Roman;serif" w:hAnsi="Times New Roman;serif"/>
                  <w:b w:val="false"/>
                  <w:strike w:val="false"/>
                  <w:dstrike w:val="false"/>
                  <w:color w:val="000000"/>
                  <w:sz w:val="20"/>
                  <w:u w:val="none"/>
                  <w:effect w:val="none"/>
                </w:rPr>
                <w:t>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25">
              <w:r>
                <w:rPr>
                  <w:rStyle w:val="InternetLink"/>
                  <w:rFonts w:ascii="Times New Roman;serif" w:hAnsi="Times New Roman;serif"/>
                  <w:b w:val="false"/>
                  <w:color w:val="0000FF"/>
                  <w:sz w:val="20"/>
                  <w:u w:val="single"/>
                </w:rPr>
                <w:t>Condensed Consolidated Statements of Cash Flows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25">
              <w:r>
                <w:rPr>
                  <w:rStyle w:val="InternetLink"/>
                  <w:rFonts w:ascii="Times New Roman;serif" w:hAnsi="Times New Roman;serif"/>
                  <w:b w:val="false"/>
                  <w:strike w:val="false"/>
                  <w:dstrike w:val="false"/>
                  <w:color w:val="000000"/>
                  <w:sz w:val="20"/>
                  <w:u w:val="none"/>
                  <w:effect w:val="none"/>
                </w:rPr>
                <w:t>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28">
              <w:r>
                <w:rPr>
                  <w:rStyle w:val="InternetLink"/>
                  <w:rFonts w:ascii="Times New Roman;serif" w:hAnsi="Times New Roman;serif"/>
                  <w:b w:val="false"/>
                  <w:color w:val="0000FF"/>
                  <w:sz w:val="20"/>
                  <w:u w:val="single"/>
                </w:rPr>
                <w:t>Notes to Unaudited Condensed Consolidated Financial Statements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28">
              <w:r>
                <w:rPr>
                  <w:rStyle w:val="InternetLink"/>
                  <w:rFonts w:ascii="Times New Roman;serif" w:hAnsi="Times New Roman;serif"/>
                  <w:b w:val="false"/>
                  <w:strike w:val="false"/>
                  <w:dstrike w:val="false"/>
                  <w:color w:val="000000"/>
                  <w:sz w:val="20"/>
                  <w:u w:val="none"/>
                  <w:effect w:val="none"/>
                </w:rPr>
                <w:t>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7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79">
              <w:r>
                <w:rPr>
                  <w:rStyle w:val="InternetLink"/>
                  <w:rFonts w:ascii="Times New Roman;serif" w:hAnsi="Times New Roman;serif"/>
                  <w:b w:val="false"/>
                  <w:strike w:val="false"/>
                  <w:dstrike w:val="false"/>
                  <w:color w:val="000000"/>
                  <w:sz w:val="20"/>
                  <w:u w:val="none"/>
                  <w:effect w:val="none"/>
                </w:rPr>
                <w:t>26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97">
              <w:r>
                <w:rPr>
                  <w:rStyle w:val="InternetLink"/>
                  <w:rFonts w:ascii="Times New Roman;serif" w:hAnsi="Times New Roman;serif"/>
                  <w:b w:val="false"/>
                  <w:color w:val="0000FF"/>
                  <w:sz w:val="20"/>
                  <w:u w:val="single"/>
                </w:rPr>
                <w:t>Item 3. Quantitative and Qualitative Disclosures About Market Risk</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97">
              <w:r>
                <w:rPr>
                  <w:rStyle w:val="InternetLink"/>
                  <w:rFonts w:ascii="Times New Roman;serif" w:hAnsi="Times New Roman;serif"/>
                  <w:b w:val="false"/>
                  <w:strike w:val="false"/>
                  <w:dstrike w:val="false"/>
                  <w:color w:val="000000"/>
                  <w:sz w:val="20"/>
                  <w:u w:val="none"/>
                  <w:effect w:val="none"/>
                </w:rPr>
                <w:t>38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00">
              <w:r>
                <w:rPr>
                  <w:rStyle w:val="InternetLink"/>
                  <w:rFonts w:ascii="Times New Roman;serif" w:hAnsi="Times New Roman;serif"/>
                  <w:b w:val="false"/>
                  <w:color w:val="0000FF"/>
                  <w:sz w:val="20"/>
                  <w:u w:val="single"/>
                </w:rPr>
                <w:t>Item 4. Controls and Procedures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00">
              <w:r>
                <w:rPr>
                  <w:rStyle w:val="InternetLink"/>
                  <w:rFonts w:ascii="Times New Roman;serif" w:hAnsi="Times New Roman;serif"/>
                  <w:b w:val="false"/>
                  <w:strike w:val="false"/>
                  <w:dstrike w:val="false"/>
                  <w:color w:val="000000"/>
                  <w:sz w:val="20"/>
                  <w:u w:val="none"/>
                  <w:effect w:val="none"/>
                </w:rPr>
                <w:t>38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03">
              <w:r>
                <w:rPr>
                  <w:rStyle w:val="InternetLink"/>
                  <w:rFonts w:ascii="Times New Roman;serif" w:hAnsi="Times New Roman;serif"/>
                  <w:b w:val="false"/>
                  <w:color w:val="0000FF"/>
                  <w:sz w:val="20"/>
                  <w:u w:val="single"/>
                </w:rPr>
                <w:t>PART II</w:t>
              </w:r>
            </w:hyperlink>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03">
              <w:r>
                <w:rPr>
                  <w:rStyle w:val="InternetLink"/>
                  <w:rFonts w:ascii="Times New Roman;serif" w:hAnsi="Times New Roman;serif"/>
                  <w:b w:val="false"/>
                  <w:color w:val="0000FF"/>
                  <w:sz w:val="20"/>
                  <w:u w:val="single"/>
                </w:rPr>
                <w:t>OTHER INFORMATION</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03">
              <w:r>
                <w:rPr>
                  <w:rStyle w:val="InternetLink"/>
                  <w:rFonts w:ascii="Times New Roman;serif" w:hAnsi="Times New Roman;serif"/>
                  <w:b w:val="false"/>
                  <w:strike w:val="false"/>
                  <w:dstrike w:val="false"/>
                  <w:color w:val="000000"/>
                  <w:sz w:val="20"/>
                  <w:u w:val="none"/>
                  <w:effect w:val="none"/>
                </w:rPr>
                <w:t>39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06">
              <w:r>
                <w:rPr>
                  <w:rStyle w:val="InternetLink"/>
                  <w:rFonts w:ascii="Times New Roman;serif" w:hAnsi="Times New Roman;serif"/>
                  <w:b w:val="false"/>
                  <w:color w:val="0000FF"/>
                  <w:sz w:val="20"/>
                  <w:u w:val="single"/>
                </w:rPr>
                <w:t>Item 1. Legal Proceedings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06">
              <w:r>
                <w:rPr>
                  <w:rStyle w:val="InternetLink"/>
                  <w:rFonts w:ascii="Times New Roman;serif" w:hAnsi="Times New Roman;serif"/>
                  <w:b w:val="false"/>
                  <w:strike w:val="false"/>
                  <w:dstrike w:val="false"/>
                  <w:color w:val="000000"/>
                  <w:sz w:val="20"/>
                  <w:u w:val="none"/>
                  <w:effect w:val="none"/>
                </w:rPr>
                <w:t>39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444">
              <w:r>
                <w:rPr>
                  <w:rStyle w:val="InternetLink"/>
                  <w:rFonts w:ascii="Times New Roman;serif" w:hAnsi="Times New Roman;serif"/>
                  <w:b w:val="false"/>
                  <w:color w:val="0000FF"/>
                  <w:sz w:val="20"/>
                  <w:u w:val="single"/>
                </w:rPr>
                <w:t>Item 1A. Risk Factors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444">
              <w:r>
                <w:rPr>
                  <w:rStyle w:val="InternetLink"/>
                  <w:rFonts w:ascii="Times New Roman;serif" w:hAnsi="Times New Roman;serif"/>
                  <w:b w:val="false"/>
                  <w:strike w:val="false"/>
                  <w:dstrike w:val="false"/>
                  <w:color w:val="000000"/>
                  <w:sz w:val="20"/>
                  <w:u w:val="none"/>
                  <w:effect w:val="none"/>
                </w:rPr>
                <w:t>39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12">
              <w:r>
                <w:rPr>
                  <w:rStyle w:val="InternetLink"/>
                  <w:rFonts w:ascii="Times New Roman;serif" w:hAnsi="Times New Roman;serif"/>
                  <w:b w:val="false"/>
                  <w:color w:val="0000FF"/>
                  <w:sz w:val="20"/>
                  <w:u w:val="single"/>
                </w:rPr>
                <w:t>Item 2. Unregistered Sales of Equity Securities and Use of Proceeds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12">
              <w:r>
                <w:rPr>
                  <w:rStyle w:val="InternetLink"/>
                  <w:rFonts w:ascii="Times New Roman;serif" w:hAnsi="Times New Roman;serif"/>
                  <w:b w:val="false"/>
                  <w:strike w:val="false"/>
                  <w:dstrike w:val="false"/>
                  <w:color w:val="000000"/>
                  <w:sz w:val="20"/>
                  <w:u w:val="none"/>
                  <w:effect w:val="none"/>
                </w:rPr>
                <w:t>96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15">
              <w:r>
                <w:rPr>
                  <w:rStyle w:val="InternetLink"/>
                  <w:rFonts w:ascii="Times New Roman;serif" w:hAnsi="Times New Roman;serif"/>
                  <w:b w:val="false"/>
                  <w:color w:val="0000FF"/>
                  <w:sz w:val="20"/>
                  <w:u w:val="single"/>
                </w:rPr>
                <w:t>Item 3. Defaults Upon Senior Securities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15">
              <w:r>
                <w:rPr>
                  <w:rStyle w:val="InternetLink"/>
                  <w:rFonts w:ascii="Times New Roman;serif" w:hAnsi="Times New Roman;serif"/>
                  <w:b w:val="false"/>
                  <w:strike w:val="false"/>
                  <w:dstrike w:val="false"/>
                  <w:color w:val="000000"/>
                  <w:sz w:val="20"/>
                  <w:u w:val="none"/>
                  <w:effect w:val="none"/>
                </w:rPr>
                <w:t>96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18">
              <w:r>
                <w:rPr>
                  <w:rStyle w:val="InternetLink"/>
                  <w:rFonts w:ascii="Times New Roman;serif" w:hAnsi="Times New Roman;serif"/>
                  <w:b w:val="false"/>
                  <w:color w:val="0000FF"/>
                  <w:sz w:val="20"/>
                  <w:u w:val="single"/>
                </w:rPr>
                <w:t>Item 4. Mine Safety Disclosure</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18">
              <w:r>
                <w:rPr>
                  <w:rStyle w:val="InternetLink"/>
                  <w:rFonts w:ascii="Times New Roman;serif" w:hAnsi="Times New Roman;serif"/>
                  <w:b w:val="false"/>
                  <w:strike w:val="false"/>
                  <w:dstrike w:val="false"/>
                  <w:color w:val="000000"/>
                  <w:sz w:val="20"/>
                  <w:u w:val="none"/>
                  <w:effect w:val="none"/>
                </w:rPr>
                <w:t>96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21">
              <w:r>
                <w:rPr>
                  <w:rStyle w:val="InternetLink"/>
                  <w:rFonts w:ascii="Times New Roman;serif" w:hAnsi="Times New Roman;serif"/>
                  <w:b w:val="false"/>
                  <w:color w:val="0000FF"/>
                  <w:sz w:val="20"/>
                  <w:u w:val="single"/>
                </w:rPr>
                <w:t>Item 5. Other Information</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21">
              <w:r>
                <w:rPr>
                  <w:rStyle w:val="InternetLink"/>
                  <w:rFonts w:ascii="Times New Roman;serif" w:hAnsi="Times New Roman;serif"/>
                  <w:b w:val="false"/>
                  <w:strike w:val="false"/>
                  <w:dstrike w:val="false"/>
                  <w:color w:val="000000"/>
                  <w:sz w:val="20"/>
                  <w:u w:val="none"/>
                  <w:effect w:val="none"/>
                </w:rPr>
                <w:t>96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27">
              <w:r>
                <w:rPr>
                  <w:rStyle w:val="InternetLink"/>
                  <w:rFonts w:ascii="Times New Roman;serif" w:hAnsi="Times New Roman;serif"/>
                  <w:b w:val="false"/>
                  <w:color w:val="0000FF"/>
                  <w:sz w:val="20"/>
                  <w:u w:val="single"/>
                </w:rPr>
                <w:t>Item 6. Exhibits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27">
              <w:r>
                <w:rPr>
                  <w:rStyle w:val="InternetLink"/>
                  <w:rFonts w:ascii="Times New Roman;serif" w:hAnsi="Times New Roman;serif"/>
                  <w:b w:val="false"/>
                  <w:strike w:val="false"/>
                  <w:dstrike w:val="false"/>
                  <w:color w:val="000000"/>
                  <w:sz w:val="20"/>
                  <w:u w:val="none"/>
                  <w:effect w:val="none"/>
                </w:rPr>
                <w:t>97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2fd39e628547d5a2514d817514977d_130">
              <w:r>
                <w:rPr>
                  <w:rStyle w:val="InternetLink"/>
                  <w:rFonts w:ascii="Times New Roman;serif" w:hAnsi="Times New Roman;serif"/>
                  <w:b w:val="false"/>
                  <w:color w:val="0000FF"/>
                  <w:sz w:val="20"/>
                  <w:u w:val="single"/>
                </w:rPr>
                <w:t>SIGNATURES</w:t>
              </w:r>
            </w:hyperlink>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2fd39e628547d5a2514d817514977d_130">
              <w:r>
                <w:rPr>
                  <w:rStyle w:val="InternetLink"/>
                  <w:rFonts w:ascii="Times New Roman;serif" w:hAnsi="Times New Roman;serif"/>
                  <w:b w:val="false"/>
                  <w:strike w:val="false"/>
                  <w:dstrike w:val="false"/>
                  <w:color w:val="000000"/>
                  <w:sz w:val="20"/>
                  <w:u w:val="none"/>
                  <w:effect w:val="none"/>
                </w:rPr>
                <w:t>98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Rhythm Pharmaceuticals,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71"/>
        <w:gridCol w:w="2386"/>
        <w:gridCol w:w="2357"/>
        <w:gridCol w:w="196"/>
        <w:gridCol w:w="739"/>
        <w:gridCol w:w="109"/>
        <w:gridCol w:w="109"/>
        <w:gridCol w:w="109"/>
        <w:gridCol w:w="109"/>
        <w:gridCol w:w="201"/>
        <w:gridCol w:w="757"/>
        <w:gridCol w:w="162"/>
      </w:tblGrid>
      <w:tr>
        <w:trPr/>
        <w:tc>
          <w:tcPr>
            <w:tcW w:w="297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430,090 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466,916 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442,316 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480,196 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Preferred Stock and Stockholders’ equity</w:t>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royalty obligation, current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105,942 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royalty obligation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204,700 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210,170 </w:t>
            </w:r>
          </w:p>
        </w:tc>
        <w:tc>
          <w:tcPr>
            <w:tcW w:w="16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convertible preferred stock, $0.001 par value: 150,000 shares authorized; 115,000 and 132,500 shares issued and outstanding at March 31, 2026 and December 31, 2025, respectively. Liquidation preference of $115,000 and $132,500 as of March 31, 2026, and December 31, 2025, respectively.</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9,850,000 shares authorized; no shares issued and outstanding at March 31, 2026 and December 31, 2025</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120,000,000 shares authorized; 68,445,084 and 67,205,321 shares issued and outstanding at March 31, 2026 and December 31, 2025, respectively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1,491,675 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(1,351,877)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139,069 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stockholders’ equity</w:t>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442,316 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480,196 </w:t>
            </w:r>
          </w:p>
        </w:tc>
        <w:tc>
          <w:tcPr>
            <w:tcW w:w="16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78" w:type="dxa"/>
        <w:jc w:val="left"/>
        <w:tblInd w:w="0" w:type="dxa"/>
        <w:tblLayout w:type="fixed"/>
        <w:tblCellMar>
          <w:top w:w="28" w:type="dxa"/>
          <w:left w:w="28" w:type="dxa"/>
          <w:bottom w:w="28" w:type="dxa"/>
          <w:right w:w="28" w:type="dxa"/>
        </w:tblCellMar>
      </w:tblPr>
      <w:tblGrid>
        <w:gridCol w:w="2189"/>
        <w:gridCol w:w="1921"/>
        <w:gridCol w:w="1935"/>
        <w:gridCol w:w="109"/>
        <w:gridCol w:w="109"/>
        <w:gridCol w:w="192"/>
        <w:gridCol w:w="192"/>
        <w:gridCol w:w="372"/>
        <w:gridCol w:w="1405"/>
        <w:gridCol w:w="192"/>
        <w:gridCol w:w="109"/>
        <w:gridCol w:w="109"/>
        <w:gridCol w:w="109"/>
        <w:gridCol w:w="240"/>
        <w:gridCol w:w="841"/>
        <w:gridCol w:w="154"/>
      </w:tblGrid>
      <w:tr>
        <w:trPr/>
        <w:tc>
          <w:tcPr>
            <w:tcW w:w="218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60,112 </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32,704 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112,473 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(52,361)</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(47,004)</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(55,094)</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(49,418)</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(55,639)</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(49,498)</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dividends on convertible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(56,743)</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67,974,193 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63,059,165 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net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(54,399)</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Rhythm Pharmaceuticals,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Condensed Consolidated Statements of Convertible Preferred Stock &amp; Stockholders’ Equity</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(in thousands, except share data)</w:t>
      </w:r>
    </w:p>
    <w:p>
      <w:pPr>
        <w:pStyle w:val="TextBody"/>
        <w:bidi w:val="0"/>
        <w:spacing w:lineRule="auto" w:line="288" w:before="0" w:after="200"/>
        <w:jc w:val="center"/>
        <w:rPr>
          <w:rFonts w:ascii="Times New Roman;serif" w:hAnsi="Times New Roman;serif"/>
          <w:b/>
          <w:color w:val="000000"/>
          <w:sz w:val="15"/>
        </w:rPr>
      </w:pPr>
      <w:r>
        <w:rPr>
          <w:rFonts w:ascii="Times New Roman;serif" w:hAnsi="Times New Roman;serif"/>
          <w:b/>
          <w:color w:val="000000"/>
          <w:sz w:val="15"/>
        </w:rPr>
        <w:t>(Unaudited)</w:t>
      </w:r>
    </w:p>
    <w:tbl>
      <w:tblPr>
        <w:tblW w:w="10205" w:type="dxa"/>
        <w:jc w:val="left"/>
        <w:tblInd w:w="0" w:type="dxa"/>
        <w:tblLayout w:type="fixed"/>
        <w:tblCellMar>
          <w:top w:w="28" w:type="dxa"/>
          <w:left w:w="28" w:type="dxa"/>
          <w:bottom w:w="28" w:type="dxa"/>
          <w:right w:w="28" w:type="dxa"/>
        </w:tblCellMar>
      </w:tblPr>
      <w:tblGrid>
        <w:gridCol w:w="616"/>
        <w:gridCol w:w="419"/>
        <w:gridCol w:w="424"/>
        <w:gridCol w:w="278"/>
        <w:gridCol w:w="278"/>
        <w:gridCol w:w="141"/>
        <w:gridCol w:w="109"/>
        <w:gridCol w:w="109"/>
        <w:gridCol w:w="109"/>
        <w:gridCol w:w="166"/>
        <w:gridCol w:w="556"/>
        <w:gridCol w:w="109"/>
        <w:gridCol w:w="109"/>
        <w:gridCol w:w="109"/>
        <w:gridCol w:w="109"/>
        <w:gridCol w:w="353"/>
        <w:gridCol w:w="353"/>
        <w:gridCol w:w="141"/>
        <w:gridCol w:w="109"/>
        <w:gridCol w:w="109"/>
        <w:gridCol w:w="109"/>
        <w:gridCol w:w="166"/>
        <w:gridCol w:w="286"/>
        <w:gridCol w:w="109"/>
        <w:gridCol w:w="109"/>
        <w:gridCol w:w="109"/>
        <w:gridCol w:w="109"/>
        <w:gridCol w:w="166"/>
        <w:gridCol w:w="646"/>
        <w:gridCol w:w="109"/>
        <w:gridCol w:w="109"/>
        <w:gridCol w:w="109"/>
        <w:gridCol w:w="109"/>
        <w:gridCol w:w="220"/>
        <w:gridCol w:w="460"/>
        <w:gridCol w:w="146"/>
        <w:gridCol w:w="109"/>
        <w:gridCol w:w="109"/>
        <w:gridCol w:w="109"/>
        <w:gridCol w:w="166"/>
        <w:gridCol w:w="621"/>
        <w:gridCol w:w="109"/>
        <w:gridCol w:w="109"/>
        <w:gridCol w:w="109"/>
        <w:gridCol w:w="109"/>
        <w:gridCol w:w="166"/>
        <w:gridCol w:w="556"/>
        <w:gridCol w:w="156"/>
      </w:tblGrid>
      <w:tr>
        <w:trPr/>
        <w:tc>
          <w:tcPr>
            <w:tcW w:w="6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Series A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Total</w:t>
              <w:br/>
              <w:t>Stockholders’</w:t>
              <w:br/>
              <w:t>Equity</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6" w:space="0" w:color="000000"/>
              <w:left w:val="single" w:sz="6"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December 31, 2025</w:t>
            </w:r>
          </w:p>
        </w:tc>
        <w:tc>
          <w:tcPr>
            <w:tcW w:w="55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132,500</w:t>
            </w:r>
            <w:r>
              <w:rPr>
                <w:color w:val="000000"/>
              </w:rPr>
              <w:t> </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130,957</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6" w:space="0" w:color="000000"/>
              <w:left w:val="single" w:sz="6"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67,205,321</w:t>
            </w:r>
            <w:r>
              <w:rPr>
                <w:color w:val="000000"/>
              </w:rPr>
              <w:t> </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2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67</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1,491,675</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4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(796)</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(1,351,877)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139,069</w:t>
            </w:r>
            <w:r>
              <w:rPr>
                <w:color w:val="000000"/>
              </w:rPr>
              <w:t>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Stock compensation expense</w:t>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23,099 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23,099 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ESPP</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15,875 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exercise of stock options and vesting of restricted stock units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936,949 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6,097 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Tax withholding on vesting of restricted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(77,643)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(8,458)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Conversion of Series A preferred stock redeemable to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(17,500)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364,582 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Accretion of preferred stock dividends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Foreign currency translation adjustment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unrealized loss on marketable securities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(55,639)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(55,639)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March 31, 2026</w:t>
            </w:r>
          </w:p>
        </w:tc>
        <w:tc>
          <w:tcPr>
            <w:tcW w:w="55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115,000</w:t>
            </w:r>
            <w:r>
              <w:rPr>
                <w:color w:val="000000"/>
              </w:rPr>
              <w:t> </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114,710</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68,445,084</w:t>
            </w:r>
            <w:r>
              <w:rPr>
                <w:color w:val="000000"/>
              </w:rPr>
              <w:t> </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2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69</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1,529,909</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4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444</w:t>
            </w:r>
            <w:r>
              <w:rPr>
                <w:color w:val="000000"/>
              </w:rPr>
              <w:t>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(1,407,516)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122,906</w:t>
            </w:r>
            <w:r>
              <w:rPr>
                <w:color w:val="000000"/>
              </w:rPr>
              <w:t>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December 31, 2024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150,000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142,820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62,390,654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1,177,045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(1,155,338)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21,729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Stock-based compensation expense</w:t>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12,862 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12,862 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ESPP</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21,875 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exercise of stock options and vesting of restricted stock units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494,853 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Accretion of preferred stock dividends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Issuance of common stock upon completion of ATM equity offering, net of $0.7 million of offering costs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587,510 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32,108 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Foreign currency translation adjustment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Unrealized loss on marketable securities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(49,498)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(49,498)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March 31, 2025</w:t>
            </w:r>
          </w:p>
        </w:tc>
        <w:tc>
          <w:tcPr>
            <w:tcW w:w="55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150,000</w:t>
            </w:r>
            <w:r>
              <w:rPr>
                <w:color w:val="000000"/>
              </w:rPr>
              <w:t> </w:t>
            </w:r>
          </w:p>
        </w:tc>
        <w:tc>
          <w:tcPr>
            <w:tcW w:w="1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144,142</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6"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63,494,892</w:t>
            </w:r>
            <w:r>
              <w:rPr>
                <w:color w:val="000000"/>
              </w:rPr>
              <w:t> </w:t>
            </w:r>
          </w:p>
        </w:tc>
        <w:tc>
          <w:tcPr>
            <w:tcW w:w="1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2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62</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1,223,772</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46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(51)</w:t>
            </w:r>
          </w:p>
        </w:tc>
        <w:tc>
          <w:tcPr>
            <w:tcW w:w="1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(1,204,836)</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18,947</w:t>
            </w:r>
            <w:r>
              <w:rPr>
                <w:color w:val="000000"/>
              </w:rPr>
              <w:t> </w:t>
            </w:r>
          </w:p>
        </w:tc>
        <w:tc>
          <w:tcPr>
            <w:tcW w:w="1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pPr>
      <w:r>
        <w:rPr>
          <w:rFonts w:ascii="Times New Roman;serif" w:hAnsi="Times New Roman;serif"/>
          <w:b w:val="false"/>
          <w:color w:val="000000"/>
          <w:sz w:val="15"/>
        </w:rPr>
        <w:t>The accompanying notes are an integral part of these unaudited condensed consolidated financial statements</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94" w:type="dxa"/>
        <w:jc w:val="left"/>
        <w:tblInd w:w="0" w:type="dxa"/>
        <w:tblLayout w:type="fixed"/>
        <w:tblCellMar>
          <w:top w:w="28" w:type="dxa"/>
          <w:left w:w="28" w:type="dxa"/>
          <w:bottom w:w="28" w:type="dxa"/>
          <w:right w:w="28" w:type="dxa"/>
        </w:tblCellMar>
      </w:tblPr>
      <w:tblGrid>
        <w:gridCol w:w="2195"/>
        <w:gridCol w:w="1926"/>
        <w:gridCol w:w="1939"/>
        <w:gridCol w:w="211"/>
        <w:gridCol w:w="796"/>
        <w:gridCol w:w="109"/>
        <w:gridCol w:w="109"/>
        <w:gridCol w:w="109"/>
        <w:gridCol w:w="109"/>
        <w:gridCol w:w="211"/>
        <w:gridCol w:w="826"/>
        <w:gridCol w:w="154"/>
      </w:tblGrid>
      <w:tr>
        <w:trPr/>
        <w:tc>
          <w:tcPr>
            <w:tcW w:w="219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Non-cash interest expense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accretion &amp; amortization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rent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embedded derivative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(gain)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items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operating activities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(44,185)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(40,351)</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Maturities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deferred royalty obligation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on vesting of restricted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from ESPP</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ATM equity offering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rates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non-cash investing and financing activities: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of preferred stock dividends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Rhythm Pharmaceuticals, Inc. (the “Company” or “we”) is a global, commercial-stage biopharmaceutical company dedicated to transforming the lives of patients and their families living with rare neuroendocrine diseases. We are focused on advancing our melanocortin-4 receptor agonists, including our lead asset, IMCIVREE (setmelanotide), as a precision medicine designed to treat hyperphagia and severe obesity caused by MC4R pathway diseases. While obesity affects hundreds of millions of people worldwide, we are developing therapies for a subset of individuals who have hyperphagia, a pathological hunger, and severe obesity due to an impaired MC4R pathway, which may be caused by traumatic injury or genetic variants.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Great Britain, Canada and other countries and regions.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Delaware corporation organized in February 2013 under the name Rhythm Metabolic, Inc., and as of October 2015, under the name Rhythm Pharmaceuticals, Inc. The Company has wholly owned subsidiaries in the US, the United Kingdom, the Netherlands, France, Germany, Italy, Spain, Switzerland, Japan and Canada.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incurred operating losses and experienced negative cash flows from operations since inception. As of March 31, 2026, the Company had an accumulated deficit of $1.4 billion. The Company has funded these losses primarily from the proceeds from the sales of common and preferred stock, product revenue, asset sales, royalty financing, out-license arrangements, as well as capital contributions received from the former parent company, Rhythm Holdings LLC. While the Company is generating product revenue, management expects operating losses to continue for the foreseeable future. The Company has devoted substantially all of its resources to its drug development efforts, comprising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continue to develop its product candidates and ultimately upon its ability to attain profitable operations.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of March 31, 2026, the Company had $340.6 million of cash and cash equivalents and short-term investments on hand. In the future, the Company will be dependent on obtaining funding from third parties, such as proceeds from the issuance of debt, sale of equity, proceeds from out license arrangements, product sales and funded research and development programs to maintain the Company's operations and meet the Company's obligations. There is no guarantee that additional equity or other financing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will be sufficient to fund the Company’s operations </w:t>
      </w:r>
      <w:r>
        <w:rPr>
          <w:rFonts w:ascii="Times New Roman;serif" w:hAnsi="Times New Roman;serif"/>
          <w:b w:val="false"/>
          <w:color w:val="000000"/>
          <w:sz w:val="20"/>
          <w:shd w:fill="FFFFFF" w:val="clear"/>
        </w:rPr>
        <w:t>through at least the next 24 months from the filing of this Quarterly Report on Form 10-Q with the SEC</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conformity with accounting principles generally accepted in the United States, or GAAP, and the applicable rules and regulations of the Securities and Exchange Commission, or SEC, regarding interim financial reporting. Any reference in these notes to applicable guidance is meant to refer to the authoritative United States generally accepted accounting principles as found in the Accounting Standards Codification, or ASC, and Accounting Standards Updates, or ASU, of the Financial Accounting Standards Board, or FASB. As permitted under these rules, certain footnotes or other financial information that are normally required by GAAP have been condensed or omitted.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balance sheet as of March 31, 2026, the condensed consolidated statements of operations and comprehensive loss for the three months ended March 31, 2026 and 2025, the condensed consolidated statements of convertible preferred stock and stockholders’ equity for the three months ended March 31, 2026 and 2025 and the condensed consolidated statements of cash flows for the three months ended March 31, 2026 and 2025 and the related footnote disclosures are unaudited. In management's opinion, the unaudited condensed consolidated financial statements have been prepared on the same basis as the audited consolidated financial statements as of and for the year ended December 31, 2025 and include all adjustments, which are all normal recurring adjustments, necessary for the fair presentation of the interim financial statements. The results for the three months ended March 31, 2026 are not necessarily indicative of the results expected for the full fiscal year, any other interim periods, or any future year or period.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reflect the application of certain significant accounting policies as described below and elsewhere in these notes to the unaudited condensed consolidated financial statements. As of March 31, 2026, there have been no material changes in the Company's significant accounting policies from those that were disclosed in the Company’s Annual Report on Form 10-K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estimates related to determining our net product revenue and accruals related to research and development expenses. Estimates are periodically reviewed in light of changes in circumstances, facts and experience. Changes in estimates are recorded in the period in which they become known. Actual results could differ materially from those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Rhythm Pharmaceuticals, Inc. and its wholly-owned subsidiaries. All significant intercompany balances and transactions have been eliminated in consolidation.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requirements about segments of an enterprise and related information establishes standards for reporting information regarding operating segments in annual financial statements and requires selected information of those segments to be presented in interim financial reports issued to shareholders. Operating segments are defined as components of an enterprise about which separate discrete financial information is available that is evaluated regularly by the chief operating decision maker, or decision-making group, in deciding how to allocate resources and in assessing performance. The Company’s chief operating decision maker is the chief executive officer. The Company and the chief executive officer view the Company’s operations and manage its business as one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Off-Balance Sheet Risk and Concentrations of Credit Risk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exposed to risks associated with extending credit to customers related to the sale of products. The Company does not require collateral to secure amounts due from its customers. For the three months ended March 31, 2026, and 2025, approximately 61% and 65% of all the Company’s revenue was generated from a single customer in the United States. Additionally, a single international customer also generated approximately 12% of the Company's revenue during the three months ended March 31, 2026. As of March 31, 2026, and December 31, 2025, approximately 56% and 56%, respectively, of the Company’s accounts receivable was outstanding from a single customer in the United States.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relies on third-party manufacturers and suppliers for the manufacture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relies on separate third parties to perform genetic testing in the United States and Europe, respectively. The inability of the vendors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remaining maturity from the date of purchase of three months or less to be cash equivalents. Cash and cash equivalents includes bank demand deposits, U.S. treasury bills and money market funds that invest primarily in U.S. government treasuries.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Short-term investments consist of investments with maturities greater than 90 days, as of the date of purchase.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available-for-sale. Accordingly, these investments are recorded at fair value, which is based on quoted market prices. Unrealized gains and losses are reported as a component of accumulated other comprehensive income (loss) in stockholders’ equity.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for the decline in value (i.e., any changes to the rating of the security by a rating agency or other adverse conditions specifically related to the security) and management's intended holding period and time horizon for selling. During the three months ended March 31, 2026 and 2025, the Company did not recognize any credit losses related to its available-for-sale debt securities. Further, as of March 31, 2026 and December 31, 2025, the Company did not record an allowance for credit losses related to its available-for-sale debt securities.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contracts with its customers have customary payment terms that generally require payment within 90 days. The Company analyzes amounts that are past due for collectability, and periodically evaluates the creditworthiness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customers. As of March 31, 2026 and December 31, 2025, the Company determined an allowance for credit losses was not required based upon our review of contractual payments and our customers’ circumstances.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Company recognizes revenue in accordance with ASC Topic 606,</w:t>
      </w:r>
      <w:r>
        <w:rPr>
          <w:color w:val="000000"/>
        </w:rPr>
        <w:t xml:space="preserve">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or ASC 606. Under ASC 606, an entity recognizes revenue when its customer obtains control of promised goods or services in an amount that reflects the consideration which the entity expects to receive in exchange for those goods or services.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“U.S.”), which accounts for the largest portion of our total revenues, the Company sells its product to one specialty pharmacy. The product is distributed through a third-party logistics provider, or 3PL, distribution agent that does not take title to the product. Once the product is delivered to the Company’s specialty pharmacy provider, our customer in the U.S.,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Reserves for Variable Consideration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are the components of variable consideration related to product revenue:</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Government rebates:</w:t>
      </w:r>
      <w:r>
        <w:rPr>
          <w:color w:val="000000"/>
        </w:rPr>
        <w:t xml:space="preserve"> </w:t>
      </w:r>
      <w:r>
        <w:rPr>
          <w:rFonts w:ascii="Times New Roman;serif" w:hAnsi="Times New Roman;serif"/>
          <w:b w:val="false"/>
          <w:color w:val="000000"/>
          <w:sz w:val="20"/>
        </w:rPr>
        <w:t xml:space="preserve">The Company is subject to discount obligations under government programs, including Medicaid programs, Medicare and Tricare in the United States as well as certain government rebates and pricing adjustments in certain international markets that we operate. We estimate these rebates based upon a range of possible outcomes that are probability-weighted for the estimated payer mix. These reserves are recorded in the same period the related revenue is recognized, resulting in a reduction of product revenue and the establishment of a liability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included in accrued expenses and other current liabilities on our condensed consolidated balance sheets. On a quarterly basis, we update our estimates and record any adjustments in the period that we identify the adjustments.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Trade discounts and allowances:</w:t>
      </w:r>
      <w:r>
        <w:rPr>
          <w:color w:val="000000"/>
        </w:rPr>
        <w:t xml:space="preserve"> </w:t>
      </w:r>
      <w:r>
        <w:rPr>
          <w:rFonts w:ascii="Times New Roman;serif" w:hAnsi="Times New Roman;serif"/>
          <w:b w:val="false"/>
          <w:color w:val="000000"/>
          <w:sz w:val="20"/>
        </w:rPr>
        <w:t>The Company provides customary invoice discounts on IMCIVREE sales to certain of our customers for prompt payment. These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Product returns: </w:t>
      </w:r>
      <w:r>
        <w:rPr>
          <w:rFonts w:ascii="Times New Roman;serif" w:hAnsi="Times New Roman;serif"/>
          <w:b w:val="false"/>
          <w:color w:val="000000"/>
          <w:sz w:val="20"/>
        </w:rPr>
        <w:t>Our customers have limited return rights related to the product’s damage or defect. The Company estimates the amount of product sales that may be returned and records the estimate as a reduction of revenue and a refund liability in the period the related product revenue is recognized. Based on the distribution model for IMCIVREE, the Company believes there will continue to be minimal returns and these reserves have not been material to date.</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Other incentives:</w:t>
      </w:r>
      <w:r>
        <w:rPr>
          <w:color w:val="000000"/>
        </w:rPr>
        <w:t xml:space="preserve"> </w:t>
      </w:r>
      <w:r>
        <w:rPr>
          <w:rFonts w:ascii="Times New Roman;serif" w:hAnsi="Times New Roman;serif"/>
          <w:b w:val="false"/>
          <w:color w:val="000000"/>
          <w:sz w:val="20"/>
        </w:rPr>
        <w:t>Other incentives include co-payment assistance the Company provides to patients with 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Provisions for trade discounts, and allowances are recorded as reductions to accounts receivable, and returns, government rebates, and other incentives are recorded as a component of accrued expenses.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from license or similar agreements with pharmaceutical companies for the development and commercialization of certain of our products and product candidates. Such agreements may include the transfer of intellectual property rights in the form of licenses, transfer of technological know-how, delivery of drug substances, research and development services, and participation on certain committees with the counterparty. Payments made by the customers may include non-refundable upfront fees, payments upon the exercise of customer options, payments based upon the achievement of defined milestones, and royalties on sales of products and product candidates if they are approved and commercialized.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license to our intellectual property is determined to be distinct from the other performance obligations identified in the arrangement, we recognize the transaction price allocated to the license as revenue upon transfer of control of the license. We evaluate all other promised goods or services in the agreement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judgment to determine the transaction price. In connection therewith, we evaluate contingent milestones at contract inception to estimate the amount which is not probable of a material reversal to include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milestone payments that may not be subject to a material reversal and, if necessary, adjust our estimate of the overall transaction price. Any such adjustments are recorded on a cumulative catch-up basis, which would affect license and other revenue, as well as earnings, in the period of adjustment.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then determine whether the performance obligations or combined performance obligations are satisfied over time or at a point in time and, if over time, the appropriate method of measuring progress for purposes of recognizing revenue from non-refundable, upfront fees. We evaluate the measure of progress, as applicable, for each reporting period and, if necessary, adjust the measure of performance and related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consideration is received, or such consideration is unconditionally due, from a customer prior to transferring goods or services to the customer under the terms of a contract, a contract liability is recorded within deferred revenue. Contract liabilities within deferred revenue are recognized as revenue after control of the goods or services is transferred to the customer and all revenue recognition criteria have been met.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arrangements that include sales-based royalties, including sales-based milestone payments, and a license of intellectual property that is deemed to be the predominant item to which the royalties relate, we recognize revenue at the later of when the related sales occur or when the performance obligation to which some or all of the royalties have been allocated has been satisfied (or partially satisfied). See Note 12, </w:t>
      </w:r>
      <w:r>
        <w:rPr>
          <w:rFonts w:ascii="Times New Roman;serif" w:hAnsi="Times New Roman;serif"/>
          <w:b w:val="false"/>
          <w:i/>
          <w:color w:val="000000"/>
          <w:sz w:val="20"/>
        </w:rPr>
        <w:t>Significant Agreements</w:t>
      </w:r>
      <w:r>
        <w:rPr>
          <w:rFonts w:ascii="Times New Roman;serif" w:hAnsi="Times New Roman;serif"/>
          <w:b w:val="false"/>
          <w:color w:val="000000"/>
          <w:sz w:val="20"/>
        </w:rPr>
        <w:t>, for discussion related to the Company’s accounting for the RareStone Group, Ltd. agreement.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Deferred Royalty Obligation</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Company treats the debt obligation to HealthCare Royalty Management, LLC as discussed further in Note 13, </w:t>
      </w:r>
      <w:r>
        <w:rPr>
          <w:rFonts w:ascii="Times New Roman;serif" w:hAnsi="Times New Roman;serif"/>
          <w:b w:val="false"/>
          <w:i/>
          <w:color w:val="000000"/>
          <w:sz w:val="20"/>
          <w:shd w:fill="FFFFFF" w:val="clear"/>
        </w:rPr>
        <w:t>Long-Term Obligations</w:t>
      </w:r>
      <w:r>
        <w:rPr>
          <w:rFonts w:ascii="Times New Roman;serif" w:hAnsi="Times New Roman;serif"/>
          <w:b w:val="false"/>
          <w:color w:val="000000"/>
          <w:sz w:val="20"/>
          <w:shd w:fill="FFFFFF" w:val="clear"/>
        </w:rPr>
        <w:t>, as a deferred royalty obligation, amortized using the effective interest rate method over the estimated life of the revenue streams. The Company recognizes interest expense thereon using the effective rate, which is based on our current estimates of future revenues over the life of the arrangement. In connection therewith, the Company periodically assesses its expected revenues using internal projections, imputes interest on the carrying value of the deferred royalty obligation, and records interest expense using the imputed effective interest rate. To the extent the Company’s estimates of future revenues are greater or less than previous estimates or the estimated timing of such payments is materially different than previous estimates, the Company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 the Company to make estimates that could impact the classification of such costs, as well as the period over which such costs will be amortized.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 adjustment charges. Finally, cost of sales may also include costs related to excess or obsolete inventory adjustment charges, abnormal costs, unabsorbed manufacturing and overhead costs, and manufacturing variances.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of cost of sales on the consolidated statements of operations and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 sell. No events or changes in circumstances existed to require an impairment assessment during the three months ended March 31, 2026 and 2025,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Acquired IPR&amp;D and Milestone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an asset acquisition, payments incurred prior to regulatory approval to acquire rights to in-process research and development (“IPR&amp;D”) projects are expensed as acquired IPR&amp;D and recorded as a component of research and development expense in the condensed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achievement of the underlying milestone becomes probable. Regulatory and commercial milestone payments made to third parties subsequent to regulatory approval are capitalized as intangible assets and amortized to cost of products sold over the remaining useful life of the related product.</w:t>
      </w:r>
    </w:p>
    <w:p>
      <w:pPr>
        <w:pStyle w:val="TextBody"/>
        <w:bidi w:val="0"/>
        <w:spacing w:lineRule="auto" w:line="288" w:before="0" w:after="240"/>
        <w:jc w:val="left"/>
        <w:rPr/>
      </w:pPr>
      <w:r>
        <w:rPr>
          <w:rFonts w:ascii="Times New Roman;serif" w:hAnsi="Times New Roman;serif"/>
          <w:b/>
          <w:i/>
          <w:color w:val="000000"/>
          <w:sz w:val="20"/>
        </w:rPr>
        <w:t>Foreign Currency</w:t>
      </w:r>
      <w:r>
        <w:rPr>
          <w:color w:val="000000"/>
        </w:rPr>
        <w:t xml:space="preserve"> </w:t>
      </w:r>
      <w:r>
        <w:rPr>
          <w:rFonts w:ascii="Times New Roman;serif" w:hAnsi="Times New Roman;serif"/>
          <w:b/>
          <w:i/>
          <w:color w:val="000000"/>
          <w:sz w:val="20"/>
        </w:rPr>
        <w:t>Translation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income (expense), net on our consolidated statements of operations, were $1.4 million and $0.0 million for the three months ended March 31, 2026 and 2025, respectively.</w:t>
      </w:r>
    </w:p>
    <w:p>
      <w:pPr>
        <w:pStyle w:val="TextBody"/>
        <w:bidi w:val="0"/>
        <w:spacing w:lineRule="auto" w:line="276" w:before="0" w:after="240"/>
        <w:jc w:val="left"/>
        <w:rPr>
          <w:rFonts w:ascii="Arial;sans-serif" w:hAnsi="Arial;sans-serif"/>
          <w:b w:val="false"/>
          <w:color w:val="000000"/>
          <w:sz w:val="24"/>
        </w:rPr>
      </w:pPr>
      <w:r>
        <w:rPr>
          <w:rFonts w:ascii="Arial;sans-serif" w:hAnsi="Arial;sans-serif"/>
          <w:b w:val="false"/>
          <w:color w:val="000000"/>
          <w:sz w:val="24"/>
        </w:rPr>
        <w:t>Fair Value Measurements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1 — Quoted market prices in active markets for identical assets or liabilities.</w:t>
      </w:r>
    </w:p>
    <w:p>
      <w:pPr>
        <w:pStyle w:val="TextBody"/>
        <w:bidi w:val="0"/>
        <w:spacing w:lineRule="auto" w:line="288" w:before="0" w:after="24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24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Company’s cash equivalents and marketable securities and derivative asset as of March 31, 2026 and December 31, 2025 were carried at fair value, determined according to the fair value hierarchy. See Note 6, </w:t>
      </w:r>
      <w:r>
        <w:rPr>
          <w:rFonts w:ascii="Times New Roman;serif" w:hAnsi="Times New Roman;serif"/>
          <w:b w:val="false"/>
          <w:i/>
          <w:color w:val="000000"/>
          <w:sz w:val="20"/>
        </w:rPr>
        <w:t>Fair Value of Financial Assets and Liabilities,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reflected in the condensed consolidated balance sheets for accounts payable and accrued expenses and other current liabilities approximate their fair values due to their short-term maturities as of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computed by dividing the net loss attributable to common shareholders by the weighted average number of common shares outstanding during the period, without consideration of potential dilutive securities. Diluted net loss per common share is computed by adjusting the weighted average shares outstanding for the potential dilutive effects of common stock equivalents outstanding during the period calculated in accordance with the more dilutive of the if-converted or the treasury stock method. For purposes of the diluted net loss per share calculation, stock options, performance stock units and restricted stock units are considered to be common stock equivalents but have been excluded from the calculation of diluted net loss per share, as their effect would be anti-dilutive for all periods presented. Therefore, basic and diluted net loss per share is the same for all periods presented.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the potential common shares that were excluded from the computation of diluted net loss per share as their effect would have been anti-dilutive for the periods indicated:</w:t>
      </w:r>
    </w:p>
    <w:tbl>
      <w:tblPr>
        <w:tblW w:w="10205" w:type="dxa"/>
        <w:jc w:val="left"/>
        <w:tblInd w:w="0" w:type="dxa"/>
        <w:tblLayout w:type="fixed"/>
        <w:tblCellMar>
          <w:top w:w="28" w:type="dxa"/>
          <w:left w:w="28" w:type="dxa"/>
          <w:bottom w:w="28" w:type="dxa"/>
          <w:right w:w="28" w:type="dxa"/>
        </w:tblCellMar>
      </w:tblPr>
      <w:tblGrid>
        <w:gridCol w:w="2427"/>
        <w:gridCol w:w="2120"/>
        <w:gridCol w:w="2138"/>
        <w:gridCol w:w="540"/>
        <w:gridCol w:w="541"/>
        <w:gridCol w:w="174"/>
        <w:gridCol w:w="174"/>
        <w:gridCol w:w="174"/>
        <w:gridCol w:w="174"/>
        <w:gridCol w:w="540"/>
        <w:gridCol w:w="541"/>
        <w:gridCol w:w="174"/>
        <w:gridCol w:w="109"/>
        <w:gridCol w:w="109"/>
        <w:gridCol w:w="109"/>
        <w:gridCol w:w="161"/>
      </w:tblGrid>
      <w:tr>
        <w:trPr/>
        <w:tc>
          <w:tcPr>
            <w:tcW w:w="2427"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6,511,250 </w:t>
            </w:r>
          </w:p>
        </w:tc>
        <w:tc>
          <w:tcPr>
            <w:tcW w:w="17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7,157,931 </w:t>
            </w:r>
          </w:p>
        </w:tc>
        <w:tc>
          <w:tcPr>
            <w:tcW w:w="17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2,953,214 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2,704,837 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issuable upon the conversion of Series A convertible preferred stock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2,395,831 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3,124,999 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w:t>
            </w:r>
          </w:p>
        </w:tc>
        <w:tc>
          <w:tcPr>
            <w:tcW w:w="108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12,180,295 </w:t>
            </w:r>
          </w:p>
        </w:tc>
        <w:tc>
          <w:tcPr>
            <w:tcW w:w="17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13,237,089 </w:t>
            </w:r>
          </w:p>
        </w:tc>
        <w:tc>
          <w:tcPr>
            <w:tcW w:w="17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See Note 16, </w:t>
      </w:r>
      <w:r>
        <w:rPr>
          <w:rFonts w:ascii="Times New Roman;serif" w:hAnsi="Times New Roman;serif"/>
          <w:b w:val="false"/>
          <w:i/>
          <w:color w:val="000000"/>
          <w:sz w:val="20"/>
        </w:rPr>
        <w:t>Subsequent Events</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Application of New or Revised Accounting Standards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2024, the FASB issued ASU 2023-09, "Income Taxes (Topic 740): Improvements to Income Tax Disclosures". The new guidance requires that an entity, on an annual basis, disclose additional income tax information, primarily related to the rate reconciliation and income taxes paid. The amendments in the ASU are intended to enhance the transparency and decision usefulness of income tax disclosures. The amendments in this update are effective for us beginning in fiscal year ending December 31, 2025. The Company has adopted this update on a prospective basis. The adoption of this guidance resulted in expanded disclosures in its consolidated financial statements.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and to make other incremental improvements to U.S. GAAP. The update represents changes to the Codification that clarify, correct errors, or make minor improvements. The amendments make the Codification easier to understand and apply. The guidance is effective for fiscal years beginning after December 15, 2026, including interim periods within those fiscal years. The Company is in the process of evaluating this guidance to determine the impact it may have on its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The amendments in this update provide clarity on interim disclosure requirements and the applicability of Topic 270. The amendments in this update also include a disclosure principle that requires entities to disclose events since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end of the last annual reporting period that have a material impact on the entity. The amendments in this ASU are required to be adopted for interim periods within annual reporting periods beginning after December 15, 2027. Early adoption is permitted. The Company is in the process of evaluating this guidance to determine the impact it may have on its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Reporting Comprehensive Income—Expense Disaggregation Disclosures,” which requires more detailed information about specified categories of expenses (purchases of inventory, employee compensation, depreciation, amortization, and depletion) included in certain expense captions presented on the face of the income statement, as well as disclosures about selling expenses. ASU 2024-03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in the process of evaluating this guidance to determine the impact it may have on its consolidated financial statement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Asset Acquisitions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LG Chem, Ltd.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4, 2024, the Company entered into a license agreement and share issuance agreement with LG Chem, Ltd. (“LGC”). Under the terms of the license agreement, the Company obtained worldwide rights to LGC’s proprietary compound bivamelagon.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of $92.4 million was composed of $40.0 million of cash paid at closing and issued shares of the Company’s common stock with an aggregate value of $20.0 million. The shares were issued at a per share price equal to the ten-day volume weighted average closing price for our common stock, calculated as of the trading day immediately prior to January 4, 2024. As of January 4, 2024, the fair value of common stock issued was $18.7 million. The total purchase consideration also included an additional $40.0 million license fee payable in 18 months, which had a present value at closing of $33.7 million, and $0.8 million of transaction costs which are recorded as selling, general and administrative expenses. On July 1, 2025, the Company made this additional payment of $40.0 million to LGC.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under the terms of the license agreement, the Company agreed to pay LGC up to $205 million in cash upon achieving various regulatory and sales milestones based on net sales of bivamelagon. In addition, and subject to the completion of Phase 2 development of bivamelagon, the Company has agreed to pay LGC royalties of between low- to mid single digit percent of net revenues from its MC4R portfolio, including bivamelagon, commencing in 2029 and dependent upon achievement of various regulatory and indication approvals, and subject to customary deductions and anti-stacking. Royalties may further increase to a low double-digit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assets acquired were IPR&amp;D assets. However, since the IPR&amp;D assets were determined to have no alternative future use, the Company recognized the $92.4 million of purchase consideration as research and development expense in the three months ended March 31, 2024.</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LGC transaction in the period in which the achievement of the underlying milestones becomes probable.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(in thousands):</w:t>
      </w:r>
    </w:p>
    <w:tbl>
      <w:tblPr>
        <w:tblW w:w="3902" w:type="dxa"/>
        <w:jc w:val="left"/>
        <w:tblInd w:w="0" w:type="dxa"/>
        <w:tblLayout w:type="fixed"/>
        <w:tblCellMar>
          <w:top w:w="28" w:type="dxa"/>
          <w:left w:w="28" w:type="dxa"/>
          <w:bottom w:w="28" w:type="dxa"/>
          <w:right w:w="28" w:type="dxa"/>
        </w:tblCellMar>
      </w:tblPr>
      <w:tblGrid>
        <w:gridCol w:w="505"/>
        <w:gridCol w:w="444"/>
        <w:gridCol w:w="446"/>
        <w:gridCol w:w="211"/>
        <w:gridCol w:w="721"/>
        <w:gridCol w:w="109"/>
        <w:gridCol w:w="109"/>
        <w:gridCol w:w="109"/>
        <w:gridCol w:w="109"/>
        <w:gridCol w:w="221"/>
        <w:gridCol w:w="757"/>
        <w:gridCol w:w="161"/>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25,753 </w:t>
            </w:r>
          </w:p>
        </w:tc>
        <w:tc>
          <w:tcPr>
            <w:tcW w:w="1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Accrued Expenses and Other Current Liabilities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331" w:type="dxa"/>
        <w:jc w:val="left"/>
        <w:tblInd w:w="0" w:type="dxa"/>
        <w:tblLayout w:type="fixed"/>
        <w:tblCellMar>
          <w:top w:w="28" w:type="dxa"/>
          <w:left w:w="28" w:type="dxa"/>
          <w:bottom w:w="28" w:type="dxa"/>
          <w:right w:w="28" w:type="dxa"/>
        </w:tblCellMar>
      </w:tblPr>
      <w:tblGrid>
        <w:gridCol w:w="1387"/>
        <w:gridCol w:w="1215"/>
        <w:gridCol w:w="1222"/>
        <w:gridCol w:w="211"/>
        <w:gridCol w:w="721"/>
        <w:gridCol w:w="109"/>
        <w:gridCol w:w="109"/>
        <w:gridCol w:w="109"/>
        <w:gridCol w:w="109"/>
        <w:gridCol w:w="221"/>
        <w:gridCol w:w="757"/>
        <w:gridCol w:w="161"/>
      </w:tblGrid>
      <w:tr>
        <w:trPr/>
        <w:tc>
          <w:tcPr>
            <w:tcW w:w="138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related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83,855 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Fair Value of Financial Assets and Liabilities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carrying amount of cash and cash equivalents and short-term investments was $340.6 million and $388.9 million respectively, which approximates fair value. Cash and cash equivalents and 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measured at fair value on a recurring basis and indicate the level of the fair value hierarchy utilized to determine such fair value (in thousands):</w:t>
      </w:r>
    </w:p>
    <w:tbl>
      <w:tblPr>
        <w:tblW w:w="9224" w:type="dxa"/>
        <w:jc w:val="left"/>
        <w:tblInd w:w="0" w:type="dxa"/>
        <w:tblLayout w:type="fixed"/>
        <w:tblCellMar>
          <w:top w:w="28" w:type="dxa"/>
          <w:left w:w="28" w:type="dxa"/>
          <w:bottom w:w="28" w:type="dxa"/>
          <w:right w:w="28" w:type="dxa"/>
        </w:tblCellMar>
      </w:tblPr>
      <w:tblGrid>
        <w:gridCol w:w="1437"/>
        <w:gridCol w:w="1263"/>
        <w:gridCol w:w="1274"/>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w:t>
              <w:br/>
              <w:t>March 31, 2026 using:</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and 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217,774 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326,734 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tbl>
      <w:tblPr>
        <w:tblW w:w="9375" w:type="dxa"/>
        <w:jc w:val="left"/>
        <w:tblInd w:w="0" w:type="dxa"/>
        <w:tblLayout w:type="fixed"/>
        <w:tblCellMar>
          <w:top w:w="28" w:type="dxa"/>
          <w:left w:w="28" w:type="dxa"/>
          <w:bottom w:w="28" w:type="dxa"/>
          <w:right w:w="28" w:type="dxa"/>
        </w:tblCellMar>
      </w:tblPr>
      <w:tblGrid>
        <w:gridCol w:w="1437"/>
        <w:gridCol w:w="1263"/>
        <w:gridCol w:w="1275"/>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w:t>
              <w:br/>
              <w:t>December 31, 2025 using:</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and 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369,777 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derivative asset related to our Royalty Interest Financing Agreement (RIFA) with HealthCare Royalty Partners was determined using Level 3 inputs. The fair value measurement of the derivative asset is sensitive to changes in the unobservable inputs used to value the financial instrument. Changes in the inputs could result in changes to the fair value of each financial instrument.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embedded derivative asset associated with our deferred royalty obligation, as discussed further in Note 13, </w:t>
      </w:r>
      <w:r>
        <w:rPr>
          <w:rFonts w:ascii="Times New Roman;serif" w:hAnsi="Times New Roman;serif"/>
          <w:b w:val="false"/>
          <w:i/>
          <w:color w:val="000000"/>
          <w:sz w:val="20"/>
        </w:rPr>
        <w:t>Long-Term Obligations</w:t>
      </w:r>
      <w:r>
        <w:rPr>
          <w:rFonts w:ascii="Times New Roman;serif" w:hAnsi="Times New Roman;serif"/>
          <w:b w:val="false"/>
          <w:color w:val="000000"/>
          <w:sz w:val="20"/>
        </w:rPr>
        <w:t>, is measured at fair value using an option pricing Monte Carlo simulation model and is included as a component of the deferred royalty obligation on the condensed consolidated balance sheets. The embedded derivative asset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a summary of the changes in the estimated fair value of our embedded derivative liability (asset) (in thousands):</w:t>
      </w:r>
    </w:p>
    <w:tbl>
      <w:tblPr>
        <w:tblW w:w="7839" w:type="dxa"/>
        <w:jc w:val="left"/>
        <w:tblInd w:w="0" w:type="dxa"/>
        <w:tblLayout w:type="fixed"/>
        <w:tblCellMar>
          <w:top w:w="28" w:type="dxa"/>
          <w:left w:w="28" w:type="dxa"/>
          <w:bottom w:w="28" w:type="dxa"/>
          <w:right w:w="28" w:type="dxa"/>
        </w:tblCellMar>
      </w:tblPr>
      <w:tblGrid>
        <w:gridCol w:w="2027"/>
        <w:gridCol w:w="1778"/>
        <w:gridCol w:w="1790"/>
        <w:gridCol w:w="211"/>
        <w:gridCol w:w="691"/>
        <w:gridCol w:w="109"/>
        <w:gridCol w:w="109"/>
        <w:gridCol w:w="109"/>
        <w:gridCol w:w="109"/>
        <w:gridCol w:w="211"/>
        <w:gridCol w:w="541"/>
        <w:gridCol w:w="154"/>
      </w:tblGrid>
      <w:tr>
        <w:trPr/>
        <w:tc>
          <w:tcPr>
            <w:tcW w:w="202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aggregate estimated fair value of Level 3 liability (asset)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aggregate estimated fair value of Level 3 liability (asset)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marketable securities (in thousands):</w:t>
      </w:r>
    </w:p>
    <w:tbl>
      <w:tblPr>
        <w:tblW w:w="10205" w:type="dxa"/>
        <w:jc w:val="left"/>
        <w:tblInd w:w="0" w:type="dxa"/>
        <w:tblLayout w:type="fixed"/>
        <w:tblCellMar>
          <w:top w:w="28" w:type="dxa"/>
          <w:left w:w="28" w:type="dxa"/>
          <w:bottom w:w="28" w:type="dxa"/>
          <w:right w:w="28" w:type="dxa"/>
        </w:tblCellMar>
      </w:tblPr>
      <w:tblGrid>
        <w:gridCol w:w="1844"/>
        <w:gridCol w:w="1624"/>
        <w:gridCol w:w="1638"/>
        <w:gridCol w:w="211"/>
        <w:gridCol w:w="826"/>
        <w:gridCol w:w="109"/>
        <w:gridCol w:w="109"/>
        <w:gridCol w:w="109"/>
        <w:gridCol w:w="109"/>
        <w:gridCol w:w="237"/>
        <w:gridCol w:w="525"/>
        <w:gridCol w:w="124"/>
        <w:gridCol w:w="109"/>
        <w:gridCol w:w="109"/>
        <w:gridCol w:w="109"/>
        <w:gridCol w:w="233"/>
        <w:gridCol w:w="540"/>
        <w:gridCol w:w="121"/>
        <w:gridCol w:w="109"/>
        <w:gridCol w:w="109"/>
        <w:gridCol w:w="109"/>
        <w:gridCol w:w="211"/>
        <w:gridCol w:w="826"/>
        <w:gridCol w:w="155"/>
      </w:tblGrid>
      <w:tr>
        <w:trPr/>
        <w:tc>
          <w:tcPr>
            <w:tcW w:w="184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and commercial paper (due within 1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217,774 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278,432 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(112)</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278,488 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47"/>
        <w:gridCol w:w="1626"/>
        <w:gridCol w:w="1640"/>
        <w:gridCol w:w="211"/>
        <w:gridCol w:w="826"/>
        <w:gridCol w:w="109"/>
        <w:gridCol w:w="109"/>
        <w:gridCol w:w="109"/>
        <w:gridCol w:w="109"/>
        <w:gridCol w:w="237"/>
        <w:gridCol w:w="525"/>
        <w:gridCol w:w="124"/>
        <w:gridCol w:w="109"/>
        <w:gridCol w:w="109"/>
        <w:gridCol w:w="109"/>
        <w:gridCol w:w="268"/>
        <w:gridCol w:w="478"/>
        <w:gridCol w:w="140"/>
        <w:gridCol w:w="109"/>
        <w:gridCol w:w="109"/>
        <w:gridCol w:w="109"/>
        <w:gridCol w:w="211"/>
        <w:gridCol w:w="826"/>
        <w:gridCol w:w="156"/>
      </w:tblGrid>
      <w:tr>
        <w:trPr/>
        <w:tc>
          <w:tcPr>
            <w:tcW w:w="184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and commercial paper (due within 1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334,046 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334,648 </w:t>
            </w:r>
          </w:p>
        </w:tc>
        <w:tc>
          <w:tcPr>
            <w:tcW w:w="1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7. Intangible Assets</w:t>
      </w:r>
    </w:p>
    <w:tbl>
      <w:tblPr>
        <w:tblW w:w="10205" w:type="dxa"/>
        <w:jc w:val="left"/>
        <w:tblInd w:w="0" w:type="dxa"/>
        <w:tblLayout w:type="fixed"/>
        <w:tblCellMar>
          <w:top w:w="28" w:type="dxa"/>
          <w:left w:w="28" w:type="dxa"/>
          <w:bottom w:w="28" w:type="dxa"/>
          <w:right w:w="28" w:type="dxa"/>
        </w:tblCellMar>
      </w:tblPr>
      <w:tblGrid>
        <w:gridCol w:w="463"/>
        <w:gridCol w:w="406"/>
        <w:gridCol w:w="409"/>
        <w:gridCol w:w="337"/>
        <w:gridCol w:w="337"/>
        <w:gridCol w:w="338"/>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11"/>
        <w:gridCol w:w="616"/>
        <w:gridCol w:w="109"/>
        <w:gridCol w:w="109"/>
        <w:gridCol w:w="109"/>
        <w:gridCol w:w="109"/>
        <w:gridCol w:w="239"/>
        <w:gridCol w:w="717"/>
        <w:gridCol w:w="125"/>
        <w:gridCol w:w="109"/>
        <w:gridCol w:w="109"/>
        <w:gridCol w:w="109"/>
        <w:gridCol w:w="211"/>
        <w:gridCol w:w="616"/>
        <w:gridCol w:w="156"/>
      </w:tblGrid>
      <w:tr>
        <w:trPr/>
        <w:tc>
          <w:tcPr>
            <w:tcW w:w="4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Milestones</w:t>
            </w:r>
          </w:p>
        </w:tc>
        <w:tc>
          <w:tcPr>
            <w:tcW w:w="101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of March 31, 2026, the Company’s finite-lived net intangible assets, which totaled $5.1 million, resulted from the capitalization of certain milestone payments made to </w:t>
      </w:r>
      <w:r>
        <w:rPr>
          <w:rFonts w:ascii="Times New Roman;serif" w:hAnsi="Times New Roman;serif"/>
          <w:b w:val="false"/>
          <w:color w:val="000000"/>
          <w:sz w:val="20"/>
          <w:shd w:fill="FFFFFF" w:val="clear"/>
        </w:rPr>
        <w:t>Ipsen Pharma, S.A.S., or Ipsen, in accordance with the terms of the Company’s license agreement with Ipsen, in</w:t>
      </w:r>
      <w:r>
        <w:rPr>
          <w:color w:val="000000"/>
        </w:rPr>
        <w:t xml:space="preserve"> </w:t>
      </w:r>
      <w:r>
        <w:rPr>
          <w:rFonts w:ascii="Times New Roman;serif" w:hAnsi="Times New Roman;serif"/>
          <w:b w:val="false"/>
          <w:color w:val="000000"/>
          <w:sz w:val="20"/>
        </w:rPr>
        <w:t>connection with the Company’s first commercial sale of IMCIVREE in the U.S. in March 2021 and in France in March 2022.</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amortization expense for the next five years and beyond is summarized as follows (in thousands):</w:t>
      </w:r>
    </w:p>
    <w:tbl>
      <w:tblPr>
        <w:tblW w:w="2495" w:type="dxa"/>
        <w:jc w:val="left"/>
        <w:tblInd w:w="0" w:type="dxa"/>
        <w:tblLayout w:type="fixed"/>
        <w:tblCellMar>
          <w:top w:w="28" w:type="dxa"/>
          <w:left w:w="28" w:type="dxa"/>
          <w:bottom w:w="28" w:type="dxa"/>
          <w:right w:w="28" w:type="dxa"/>
        </w:tblCellMar>
      </w:tblPr>
      <w:tblGrid>
        <w:gridCol w:w="549"/>
        <w:gridCol w:w="481"/>
        <w:gridCol w:w="484"/>
        <w:gridCol w:w="211"/>
        <w:gridCol w:w="61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totaled $0.2 million for each of the three months ended March 31, 2026 and 2025, respectively. Amortization expense is included in cost of sales in the condensed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provision of approximately $0.5 million and $0.1 million for the three months ended March 31, 2026, and 2025, respectively. The income tax provision is a result of taxable income from the Company’s foreign jurisdictions. The Company expects to maintain a full valuation allowance against its net deferred tax assets for the year ending December 31, 2026.</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 July 4, 2025, the One Big Beautiful Bill Act (“OBBBA”), which includes a broad range of tax reform provisions, was signed into law in the United States. The Company has evaluated the income tax effects of the OBBBA in accordance with ASC 740,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and has determined that the enactment of the OBBBA does not have a material impact on its current or deferred income tax expense, financial position, or results of operations for the period ended. The Company will continue to evaluate the provisions of OBBBA that go into effect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Series A Convertible Preferred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the Company entered into an Investment Agreement (the “Investment Agreement”) with certain affiliates of Perceptive Advisors LLC (“Perceptive”) and certain other investors (each, an “Investor” and collectively, the “Investors”), relating to the issuance and sale of 150,000 shares of a new series of the Company’s Series A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Preferred Stock, par value $0.001 per share, titled the “Series A Convertible Preferred Stock” (the “Convertible Preferred Stock”), for an aggregate purchase price of $147.8 million, net of $2.3 million of issuance costs, or $1,000 per share (the “Issuance”). The Issuance closed on April 15, 2024.</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Company determined the obligation to issue 150,000 shares of </w:t>
      </w:r>
      <w:r>
        <w:rPr>
          <w:rFonts w:ascii="Times New Roman;serif" w:hAnsi="Times New Roman;serif"/>
          <w:b w:val="false"/>
          <w:color w:val="000000"/>
          <w:sz w:val="20"/>
        </w:rPr>
        <w:t>Convertible Preferred Stock</w:t>
      </w:r>
      <w:r>
        <w:rPr>
          <w:color w:val="000000"/>
          <w:shd w:fill="FFFFFF" w:val="clear"/>
        </w:rPr>
        <w:t xml:space="preserve"> </w:t>
      </w:r>
      <w:r>
        <w:rPr>
          <w:rFonts w:ascii="Times New Roman;serif" w:hAnsi="Times New Roman;serif"/>
          <w:b w:val="false"/>
          <w:color w:val="000000"/>
          <w:sz w:val="20"/>
          <w:shd w:fill="FFFFFF" w:val="clear"/>
        </w:rPr>
        <w:t>to Perceptive and Investors in the future at a set price represented a forward contract which was required to be accounted for at fair value.</w:t>
      </w:r>
      <w:r>
        <w:rPr>
          <w:color w:val="000000"/>
        </w:rPr>
        <w:t xml:space="preserve"> </w:t>
      </w:r>
      <w:r>
        <w:rPr>
          <w:rFonts w:ascii="Times New Roman;serif" w:hAnsi="Times New Roman;serif"/>
          <w:b w:val="false"/>
          <w:color w:val="000000"/>
          <w:sz w:val="20"/>
          <w:shd w:fill="FFFFFF" w:val="clear"/>
        </w:rPr>
        <w:t xml:space="preserve">The fair value of the forward contract was measured as the difference between the fair value of the Convertible Preferred Stock, as determined using a binomial lattice valuation model, and the consideration payable to the Company. </w:t>
      </w:r>
      <w:r>
        <w:rPr>
          <w:rFonts w:ascii="Times New Roman;serif" w:hAnsi="Times New Roman;serif"/>
          <w:b w:val="false"/>
          <w:color w:val="000000"/>
          <w:sz w:val="20"/>
        </w:rPr>
        <w:t xml:space="preserve">The assumptions used in the binomial lattice model include: (1) the Company’s common stock price on the issuance and settlement dates; (2) the Conversion Price as of $48.00 as per the Agreement; (3) a 20-year term to maturity; (4) an estimate of the Company’s credit risk-adjusted discount rate; and (5) volatility. </w:t>
      </w:r>
      <w:r>
        <w:rPr>
          <w:rFonts w:ascii="Times New Roman;serif" w:hAnsi="Times New Roman;serif"/>
          <w:b w:val="false"/>
          <w:color w:val="000000"/>
          <w:sz w:val="20"/>
          <w:shd w:fill="FFFFFF" w:val="clear"/>
        </w:rPr>
        <w:t>The fair value of the forward contract upon issuance was determined to be $0. Upon closing, the value of the forward contract was determined to be $8.9 million and the fair value of the Convertible Preferred Stock was determined to be $141.1 million.</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Company classifies its Convertible Preferred Stock outside of stockholders’ equity as the redemption of such shares is outside the Company’s control. The Company did not adjust the carrying values of the Convertible Preferred Stock to redemption value as the shares are not probable of becoming redeemable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4, 2025, and in accordance with the terms described below, a holder of the Company's Series A Convertible Preferred Stock exercised their right to convert 17,500 shares of Series A Convertible Preferred Stock to common shares. Each of the 17,500 shares of Series A Convertible Preferred Stock converted to 20.8333 shares of common stock, resulting in a total of 364,582 shares of common stock. The Company reclassified the carrying value of the converted shares of $17.2 million from Series A convertible Preferred Stock to common stock and additional paid in capital, for this non-cash financing event.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26, 2026, and in accordance with the terms described below, the same holder exercised its right to convert another 17,500 shares of Series A Convertible Preferred Stock to common shares. Each of the 17,500 preferred shares converted to 20.8333 shares of common stock, resulting in a total of 364,582 shares of common stock. The Company reclassified the carrying value of the converted shares of $17.4 million from Series A convertible Preferred Stock to common stock and additional paid in capital, for this non-cash financing event. </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Convertible Preferred Stock has the following rights and privileges: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Liquidation: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Convertible Preferred Stock will rank senior to the Company’s common stock with respect to the distribution of assets upon the Company’s liquidation, dissolution or winding up.</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any liquidation, dissolution or winding-up of the Company, whether voluntary or involuntary (“Liquidation”), each holder of Convertible Preferred Stock shall be entitled to receive payment for the greater of (i) 1.75 multiplied by the sum of the Liquidation Preference (i.e., Initial Liquidation Preference of $1,000 per share plus Paid-in-Kind (“PIK”) Dividends) plus unpaid Regular Dividends (to the extent such accumulated and unpaid Regular Dividends are not included in such Liquidation Preference) or (ii) the amount such holder would have received if the Convertible Preferred Stock were fully converted to common stock. If the assets available for distribution are not sufficient to pay the holders of the Convertible Preferred Stock pursuant to the preceding sentence, the assets will be distributed ratably to the holders of the Convertible Preferred Stock.</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Voting:</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the Convertible Preferred Stock have the right to vote with the holders of common stock on each matter submitted for a vote on an as-converted basis, subject to the terms of the Convertible Preferred Stock as specified in the Amended and Restated Certificate of Designations.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holders of the Convertible Preferred Stock shall also have certain protective voting rights. Specifically, as long as the Convertible Preferred Stock are outstanding, each of the following events require at least a two thirds affirmative vote of the Convertible Preferred Stock holders: (a) any amendment or modification of the Certificate of Incorporation to authorize or create, or to increase the authorized number of shares of, any class or series of Dividend Parity Stock, Liquidation Parity Stock, Dividend Senior Stock or Liquidation Senior Stock, (b) any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modification, repeal or waiver of any provision of the Certificate of Incorporation or the Amended and Restated Certificate of Designations that adversely affects the rights, preferences, privileges or powers of the Convertible Preferred Stock, (c) increase or decrease the number of authorized shares of Convertible Preferred Stock or issue additional shares of Convertible Preferred Stock, (d) the Company’s consolidation or combination with, or merger with or into, another Person, or any binding or statutory share exchange or involving the Convertible Preferred Stock, in each case unless: (i) the Convertible Preferred Stock either (x) 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 (ii) 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 (iii) the issuer of the Convertible Preferred Stock that remains outstanding or such preference securities, as applicable, is a corporation duly organized and existing under the laws of the United States of America, any State thereof or the District of Columbia that, if not the Company, will succeed to the Company under the Amended and Restated Certificate of Designations and the Convertible Preferred Stock.</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Redemption:</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Company has the right to redeem all Convertible Preferred Stock after the Redemption Trigger Date, which is the fifth anniversary of the Initial Issue Date of </w:t>
      </w:r>
      <w:r>
        <w:rPr>
          <w:rFonts w:ascii="Times New Roman;serif" w:hAnsi="Times New Roman;serif"/>
          <w:b w:val="false"/>
          <w:color w:val="000000"/>
          <w:sz w:val="20"/>
        </w:rPr>
        <w:t>April 15, 2024</w:t>
      </w:r>
      <w:r>
        <w:rPr>
          <w:rFonts w:ascii="Times New Roman;serif" w:hAnsi="Times New Roman;serif"/>
          <w:b w:val="false"/>
          <w:color w:val="000000"/>
          <w:sz w:val="20"/>
          <w:shd w:fill="FFFFFF" w:val="clear"/>
        </w:rPr>
        <w:t>. The amount payable on the redemption date is equal to the Liquidation Preference (i.e., Initial Liquidation Preference of $1,000 per share plus PIK Dividends) plus any unpaid Regular Dividends (to the extent such accumulated and unpaid Regular Dividends are not included in such Liquidation Preference).</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If a change of control occurs, each holder shall have the right to require the Company to repurchase all, or any whole number of shares that is less than all, of the holder’s Convertible Preferred Stock at an amount equal to 1.75 multiplied by the sum of the Liquidation Preference (i.e., Initial Liquidation Preference of $1,000 per share plus PIK Dividends) plus any unpaid Regular Dividends (to the extent such accumulated and unpaid Regular Dividends are not included in such Liquidation Preference).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the Company did not adjust the carrying value of the Convertible Preferred Stock to its redemption value, since a change of control was determined to be not probable. </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Dividends:</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After the second anniversary, dividends on the </w:t>
      </w:r>
      <w:r>
        <w:rPr>
          <w:rFonts w:ascii="Times New Roman;serif" w:hAnsi="Times New Roman;serif"/>
          <w:b w:val="false"/>
          <w:color w:val="000000"/>
          <w:sz w:val="20"/>
        </w:rPr>
        <w:t>Convertible Preferred Stock</w:t>
      </w:r>
      <w:r>
        <w:rPr>
          <w:color w:val="000000"/>
          <w:shd w:fill="FFFFFF" w:val="clear"/>
        </w:rPr>
        <w:t xml:space="preserve"> </w:t>
      </w:r>
      <w:r>
        <w:rPr>
          <w:rFonts w:ascii="Times New Roman;serif" w:hAnsi="Times New Roman;serif"/>
          <w:b w:val="false"/>
          <w:color w:val="000000"/>
          <w:sz w:val="20"/>
          <w:shd w:fill="FFFFFF" w:val="clear"/>
        </w:rPr>
        <w:t xml:space="preserve">accrue quarterly, at a 6% annual rate, and if not paid out in cash before the quarter end, will become PIK Dividends and added to the liquidation preference, or original issue price plus PIK Dividends. Since dividends do not commence until the second anniversary of the Issuance, the </w:t>
      </w:r>
      <w:r>
        <w:rPr>
          <w:rFonts w:ascii="Times New Roman;serif" w:hAnsi="Times New Roman;serif"/>
          <w:b w:val="false"/>
          <w:color w:val="000000"/>
          <w:sz w:val="20"/>
        </w:rPr>
        <w:t>Convertible Preferred Stock</w:t>
      </w:r>
      <w:r>
        <w:rPr>
          <w:color w:val="000000"/>
          <w:shd w:fill="FFFFFF" w:val="clear"/>
        </w:rPr>
        <w:t xml:space="preserve"> </w:t>
      </w:r>
      <w:r>
        <w:rPr>
          <w:rFonts w:ascii="Times New Roman;serif" w:hAnsi="Times New Roman;serif"/>
          <w:b w:val="false"/>
          <w:color w:val="000000"/>
          <w:sz w:val="20"/>
          <w:shd w:fill="FFFFFF" w:val="clear"/>
        </w:rPr>
        <w:t xml:space="preserve">is considered increasing rate preferred stock. Accordingly, the Company accretes the dividends, using the effective interest method, from Issuance to the first contractual call date, April 15, 2029. The Company accrued dividends of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and $1.3 million for the three months ended </w:t>
      </w:r>
      <w:r>
        <w:rPr>
          <w:rFonts w:ascii="Times New Roman;serif" w:hAnsi="Times New Roman;serif"/>
          <w:b w:val="false"/>
          <w:color w:val="000000"/>
          <w:sz w:val="20"/>
        </w:rPr>
        <w:t>March 31, 2026 and March 31, 2025</w:t>
      </w:r>
      <w:r>
        <w:rPr>
          <w:rFonts w:ascii="Times New Roman;serif" w:hAnsi="Times New Roman;serif"/>
          <w:b w:val="false"/>
          <w:color w:val="000000"/>
          <w:sz w:val="20"/>
          <w:shd w:fill="FFFFFF" w:val="clear"/>
        </w:rPr>
        <w:t xml:space="preserve">, as a reduction to Additional Paid-In Capital and an increase to the carrying value of </w:t>
      </w:r>
      <w:r>
        <w:rPr>
          <w:rFonts w:ascii="Times New Roman;serif" w:hAnsi="Times New Roman;serif"/>
          <w:b w:val="false"/>
          <w:color w:val="000000"/>
          <w:sz w:val="20"/>
        </w:rPr>
        <w:t xml:space="preserve">Convertible Preferred Stock. </w:t>
      </w:r>
      <w:r>
        <w:rPr>
          <w:rFonts w:ascii="Times New Roman;serif" w:hAnsi="Times New Roman;serif"/>
          <w:b w:val="false"/>
          <w:color w:val="000000"/>
          <w:sz w:val="20"/>
          <w:shd w:fill="FFFFFF" w:val="clear"/>
        </w:rPr>
        <w:t xml:space="preserve">The carrying value of </w:t>
      </w:r>
      <w:r>
        <w:rPr>
          <w:rFonts w:ascii="Times New Roman;serif" w:hAnsi="Times New Roman;serif"/>
          <w:b w:val="false"/>
          <w:color w:val="000000"/>
          <w:sz w:val="20"/>
        </w:rPr>
        <w:t>Convertible Preferred Stock</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December 31, 2025 is </w:t>
      </w:r>
      <w:r>
        <w:rPr>
          <w:rFonts w:ascii="Times New Roman;serif" w:hAnsi="Times New Roman;serif"/>
          <w:b w:val="false"/>
          <w:color w:val="000000"/>
          <w:sz w:val="20"/>
        </w:rPr>
        <w:t xml:space="preserve">$114.7 million and $131.0 million, respectively. </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Conversions: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Holders of Convertible Preferred Stock</w:t>
      </w:r>
      <w:r>
        <w:rPr>
          <w:color w:val="000000"/>
          <w:shd w:fill="FFFFFF" w:val="clear"/>
        </w:rPr>
        <w:t xml:space="preserve"> </w:t>
      </w:r>
      <w:r>
        <w:rPr>
          <w:rFonts w:ascii="Times New Roman;serif" w:hAnsi="Times New Roman;serif"/>
          <w:b w:val="false"/>
          <w:color w:val="000000"/>
          <w:sz w:val="20"/>
        </w:rPr>
        <w:t>have the option to convert any number of whole shares at any time. The conversion is based on the sum of the Liquidation Preference plus unpaid Dividends divided by the $48.00 Conversion Price. Given the Initial Liquidation Preference of $1,000, each share of Convertible Preferred Stock would be convertible into 20.8333 shares of common stock, prior to any adjustments such as PIK Dividends, unpaid Dividends, stock splits, or voluntary conversion rate increases. Upon conversion, cash will be paid in lieu of any fractional share of common stock. However, based on certain restrictions on the conversion of the Convertible Preferred Stock specified in the Amended and Restated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one holder, or 9.99%, in the case of the other holder, of the number of shares of common stock outstanding immediately after giving effect to such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pStyle w:val="TextBody"/>
        <w:bidi w:val="0"/>
        <w:spacing w:lineRule="auto" w:line="288" w:before="0" w:after="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0"/>
        </w:rPr>
        <w:t>n February 26, 2026, the Company filed with the Securities Exchange Commission (the “SEC”) a registration statement on Form S-3ASR containing a prospectus covering the resale from time to time by the Investors of up to an aggregate of 2,395,831 shares of common stock, to satisfy registration rights that the Company granted to such stockholders in connection with the Issuance.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10,000,000 shares of Preferred Stock authorized, of which 150,000 shares are designated for the Series A Convertible Preferred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an aggregate of </w:t>
      </w:r>
      <w:r>
        <w:rPr>
          <w:rFonts w:ascii="Times New Roman;serif" w:hAnsi="Times New Roman;serif"/>
          <w:b w:val="false"/>
          <w:color w:val="000000"/>
          <w:sz w:val="20"/>
        </w:rPr>
        <w:t>19,823,095</w:t>
      </w:r>
      <w:r>
        <w:rPr>
          <w:color w:val="000000"/>
          <w:shd w:fill="FFFFFF" w:val="clear"/>
        </w:rPr>
        <w:t xml:space="preserve"> </w:t>
      </w:r>
      <w:r>
        <w:rPr>
          <w:rFonts w:ascii="Times New Roman;serif" w:hAnsi="Times New Roman;serif"/>
          <w:b w:val="false"/>
          <w:color w:val="000000"/>
          <w:sz w:val="20"/>
          <w:shd w:fill="FFFFFF" w:val="clear"/>
        </w:rPr>
        <w:t xml:space="preserve">shares of common stock were reserved for issuance under the Company’s stock plans, which include stock options, restricted stock units, and performance stock units that have been granted covering </w:t>
      </w:r>
      <w:r>
        <w:rPr>
          <w:rFonts w:ascii="Times New Roman;serif" w:hAnsi="Times New Roman;serif"/>
          <w:b w:val="false"/>
          <w:color w:val="000000"/>
          <w:sz w:val="20"/>
        </w:rPr>
        <w:t>9,784,464</w:t>
      </w:r>
      <w:r>
        <w:rPr>
          <w:color w:val="000000"/>
          <w:shd w:fill="FFFFFF" w:val="clear"/>
        </w:rPr>
        <w:t xml:space="preserve"> </w:t>
      </w:r>
      <w:r>
        <w:rPr>
          <w:rFonts w:ascii="Times New Roman;serif" w:hAnsi="Times New Roman;serif"/>
          <w:b w:val="false"/>
          <w:color w:val="000000"/>
          <w:sz w:val="20"/>
          <w:shd w:fill="FFFFFF" w:val="clear"/>
        </w:rPr>
        <w:t xml:space="preserve">shares of common stock, as well as </w:t>
      </w:r>
      <w:r>
        <w:rPr>
          <w:rFonts w:ascii="Times New Roman;serif" w:hAnsi="Times New Roman;serif"/>
          <w:b w:val="false"/>
          <w:color w:val="000000"/>
          <w:sz w:val="20"/>
        </w:rPr>
        <w:t>6,386,116</w:t>
      </w:r>
      <w:r>
        <w:rPr>
          <w:color w:val="000000"/>
          <w:shd w:fill="FFFFFF" w:val="clear"/>
        </w:rPr>
        <w:t xml:space="preserve"> </w:t>
      </w:r>
      <w:r>
        <w:rPr>
          <w:rFonts w:ascii="Times New Roman;serif" w:hAnsi="Times New Roman;serif"/>
          <w:b w:val="false"/>
          <w:color w:val="000000"/>
          <w:sz w:val="20"/>
          <w:shd w:fill="FFFFFF" w:val="clear"/>
        </w:rPr>
        <w:t xml:space="preserve">of shares available under the Company’s </w:t>
      </w:r>
      <w:r>
        <w:rPr>
          <w:rFonts w:ascii="Times New Roman;serif" w:hAnsi="Times New Roman;serif"/>
          <w:b w:val="false"/>
          <w:color w:val="000000"/>
          <w:sz w:val="20"/>
        </w:rPr>
        <w:t>2017 Equity Incentive Plan (the “2017 Plan”)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1,225,153</w:t>
      </w:r>
      <w:r>
        <w:rPr>
          <w:color w:val="000000"/>
          <w:shd w:fill="FFFFFF" w:val="clear"/>
        </w:rPr>
        <w:t xml:space="preserve"> </w:t>
      </w:r>
      <w:r>
        <w:rPr>
          <w:rFonts w:ascii="Times New Roman;serif" w:hAnsi="Times New Roman;serif"/>
          <w:b w:val="false"/>
          <w:color w:val="000000"/>
          <w:sz w:val="20"/>
        </w:rPr>
        <w:t>shares of common stock available for future grants under the Company’s Employee Stock Purchase Plan. Additionally, this reserve includes 2,395,831</w:t>
      </w:r>
      <w:r>
        <w:rPr>
          <w:color w:val="000000"/>
          <w:shd w:fill="FFFFFF" w:val="clear"/>
        </w:rPr>
        <w:t xml:space="preserve"> </w:t>
      </w:r>
      <w:r>
        <w:rPr>
          <w:rFonts w:ascii="Times New Roman;serif" w:hAnsi="Times New Roman;serif"/>
          <w:b w:val="false"/>
          <w:color w:val="000000"/>
          <w:sz w:val="20"/>
          <w:shd w:fill="FFFFFF" w:val="clear"/>
        </w:rPr>
        <w:t>shares of common stock for issuance to satisfy the shares of common stock issuable upon conversion of</w:t>
      </w:r>
      <w:r>
        <w:rPr>
          <w:color w:val="000000"/>
        </w:rPr>
        <w:t xml:space="preserve"> </w:t>
      </w:r>
      <w:r>
        <w:rPr>
          <w:rFonts w:ascii="Times New Roman;serif" w:hAnsi="Times New Roman;serif"/>
          <w:b w:val="false"/>
          <w:color w:val="000000"/>
          <w:sz w:val="20"/>
        </w:rPr>
        <w:t>the remaining 115,000</w:t>
      </w:r>
      <w:r>
        <w:rPr>
          <w:color w:val="000000"/>
          <w:shd w:fill="FFFFFF" w:val="clear"/>
        </w:rPr>
        <w:t xml:space="preserve"> </w:t>
      </w:r>
      <w:r>
        <w:rPr>
          <w:rFonts w:ascii="Times New Roman;serif" w:hAnsi="Times New Roman;serif"/>
          <w:b w:val="false"/>
          <w:color w:val="000000"/>
          <w:sz w:val="20"/>
          <w:shd w:fill="FFFFFF" w:val="clear"/>
        </w:rPr>
        <w:t>shares of Convertible Preferred Stock.</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 January 26, 2026 one of the Company's Series A Convertible Preferred Stock holders exercised their conversion right and converted 17,500 Convertible Preferred A Stock into 364,582 shares of common stock. Refer to Note 9, </w:t>
      </w:r>
      <w:r>
        <w:rPr>
          <w:rFonts w:ascii="Times New Roman;serif" w:hAnsi="Times New Roman;serif"/>
          <w:b w:val="false"/>
          <w:i/>
          <w:color w:val="000000"/>
          <w:sz w:val="20"/>
        </w:rPr>
        <w:t>Series A Convertible Preferred Stoc</w:t>
      </w:r>
      <w:r>
        <w:rPr>
          <w:rFonts w:ascii="Times New Roman;serif" w:hAnsi="Times New Roman;serif"/>
          <w:b w:val="false"/>
          <w:color w:val="000000"/>
          <w:sz w:val="20"/>
        </w:rPr>
        <w:t>k, for further information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9, 2025, the Company entered into an underwriting agreement (the “Underwriting Agreement”) with Morgan Stanley &amp; Co. LLC and BofA Securities, Inc., as the representatives of the several underwriters named in the Underwriting Agreement (collectively, the “Underwriters”), in connection with a follow-on offering, issuance and sale by the Company of 2,058,824 shares of the Company’s common stock. The offering price of the shares of common stock to the public was $85.00 per share. In addition, under the terms of the Underwriting Agreement, the Company granted the Underwriters a 30-day option to purchase up to 308,823 additional shares of Common Stock, at the public offering price per share, less underwriting discounts and commissions. On July 10, 2025, the Underwriters exercised the option in full. The closing of the sale of the shares pursuant to the offering, including the shares sold pursuant to the exercise in full of the option, took place on July 11, 2025, resulting in net proceeds of approximately $188.7 million, net of $12.6 million of underwriting discounts and commissions, and other offering expenses incurred by the Company, for a total share issuance of 2,367,647.</w:t>
      </w:r>
    </w:p>
    <w:p>
      <w:pPr>
        <w:pStyle w:val="TextBody"/>
        <w:bidi w:val="0"/>
        <w:spacing w:before="0" w:after="24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26, 2026, the Company and TD Securities (USA) LLC (“TD Cowen”) entered into a Sales Agreement (the “Sales Agreement”) pursuant to which the Company may issue and sell shares of its common stock, having an aggregate offering price of up to $200.0 million, from time to time through an “at the market” equity offering program under which TD Cowen acts as sales agent. The Sales Agreement supersedes the prior Sales Agreement between TD Cowen and the Company, dated November 2, 2021, as amended on February 29, 2024. In connection with the Sales Agreement, on February 26, 2026, the Company filed with the SEC a registration statement on Form S-3ASR containing a base prospectus and a prospectus supplement, each dated February 26, 2026, pursuant to which issuances and sales under the Sales Agreement will be made. Between December 10, 2024 and December 31, 2024, the Company sold 744,595 shares of common stock in the ATM Program for net proceeds of $41.2 million. Between January 1, 2025 and January 21, 2025, the Company sold an additional 587,510 shares of common stock in the ATM Program for net proceeds of approximately $32.1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9, 2022, the Company’s board of directors adopted the Inducement Plan, without stockholder approval pursuant to Rule 5635(c)(4) of the Nasdaq Stock Market LLC listing rules or Rule 5635(c)(4). In accordance with Rule 5635(c)(4), awards under the Inducement Plan may only be made to a newly hired employee who has not previously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have been reserved for issuance under the Inducement Plan. The Company continues to grant awards under the 2017 Plan pursuant to the terms thereof.</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exercise price of stock options granted under the Inducement Plan is not less than the fair market value of a share of the Company’s common stock on the grant date. Other terms of awards, including vesting requirements, are determined by the Company’s board of directors and are subject to the provisions of the Inducement Plan. Stock options granted to employees generally vest over a four-year period but may be granted with different vesting terms. Certain options may provide for accelerated vesting in the event of a change in control. Stock options granted under the Inducement Plan expire no more than 10 years from the date of grant. As of March 31, 2026, 530,695 stock option awards and 392,531 restricted stock unit awards have been granted under the Inducement Plan, net of forfeitures. As of March 31, 2026, 77,116 shares of common stock are available for future grant under the Inducement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Related-Party Transactions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Expenses paid directly to related parties for the three months ended March 31, 2026 and 2025, were immaterial. Outstanding payments due to related parties as of March 31, 2026 and December 31, 2025 were also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12. Significant Agreements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RareStone Group Ltd.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14, 2025, we entered into a termination agreement (the “Termination Agreement”) with RareStone Group Ltd. (“RareStone”) and RareStone Medicine (Shenzhen) Co., Ltd. (“RareStone Shenzhen”), pursuant to which the Company, RareStone and RareStone Shenzhen have mutually agreed to terminate (i) the Exclusive License Agreement between the Company and RareStone, dated December 3, 2021 (the “License Agreement”); and (ii) the Share Purchase Agreement between the Company and RareStone, dated December 3, 2021 (the “Share Purchase Agreement”, and with the License Agreement the “RareStone Agreements”).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Termination Agreement, the Company agreed to pay $6.3 million as a repayment of a portion of the upfront payment made pursuant to Section 7.1 of the License Agreement. In connection with the Termination Agreement, the Company and RareStone also entered into a Share Repurchase Agreement dated March 14, 2025, pursuant to which the Company has agreed to convey all of the shares acquired under the original Share Purchase Agreement back to RareStone, for no additional consideration. The Company had previously written off the value of the shares in the year ended December 31, 2023. Prior to executing the termination agreement, the Company had recorded $1.3 million of deferred revenue related to this arrangement for unsatisfied performance obligations. As a result of the Termination Agreement, the Company recognized the $6.3 million paid to RareStone as a reduction in previously-recognized license revenue as it represented consideration paid to a customer, and recognized all existing deferred revenue resulting in a net reduction in license revenue of $5.0 million during the three months ending March 31, 2025.</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Termination Agreement, the RareStone Agreements were terminated and all rights and obligations under such agreements ceased. In addition, each party to the Termination Agreement discharged and released the other parties, subsidiaries, divisions, affiliates, predecessors, successors, and each of their past and present officers, directors, employees, attorneys, agents, affiliates, assigns, and representatives of and from any and all claims, demands, actions, or causes of action, known or unknown, contingent or non-contingent, which the parties may or might have against them, by reason of any general, special, or consequential damages, losses, or potential losses, arising out of and/or relating to the RareStone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Long-Term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 million, or the Investment Amount. Under the terms of the RIFA, we received $37.5 million on June 29, 2022 upon FDA approval of IMCIVREE in BBS, referred to as the Initial Investment Amount, and we received an additional $37.5 million on September 29, 2022 of the Investment Amount upon EMA approval for BBS. On September 12, 2023, we received the remaining $24.4 million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Investment Amount, net of debt issuance costs, following the achievement of a specified amount of cumulative net sales of IMCIVREE between July 1, 2022 and March 31, 2024.</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We made repayments of $4.3 million in the three months ended March 31, 2026. As of March 31, 2026 we have made cumulative payments of $44.6 million.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dependent on the aggregate royalty paid between 2028 and 2032. If a change of control occurs, the Investors may accelerate payments due under the RIFA up to the Hard Cap plus any other obligations payable under the RIFA.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repayment period commenced on July 8, 2022 for the Initial Investment Amount, and expires on the earlier of (i) the date at which the Investors received cash payments totaling an aggregate of a Hard Cap ranging from 185% to 250% of the Initial Investment Amount or (ii) the legal maturity date of July 8, 2034. If the Investors have not received payments equal to 250% of the Investment Amount by the twelve-year anniversary of the initial closing date, we will be 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 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have evaluated the terms of the RIFA and concluded that the features are similar to those of a debt instrument. Accordingly, we have accounted for the transaction as long-term debt and presented it as a deferred royalty obligation on our condensed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our condensed consolidated financial statements. The aggregate fair value of the embedded derivative asset (liability) was $0.9 million and $1.2 million as of March 31, 2026 and December 31, 2025, respectively. We remeasure the embedded derivative to fair value each reporting period until the time the features lapse and/or termination of the deferred royalty obligation. For the three months ended March 31, 2026 and 2025, we recognized other expense of $(0.3) million and $(0.1) million, respectively, due to the remeasurement of the embedded derivative asset.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the deferred royalty obligation as of March 31, 2026 was $108.5 million based on $100.0 million of proceeds, net of the fair value of the bifurcated embedded derivative liability upon execution of the RIFA, and debt issuance costs incurred. The carrying value is classified as $10.1 million within current liabilities and $98.3 million within long-term liabilities on the consolidated balance sheet as of March 31, 2026. The carrying value of the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royalty obligation approximated fair value as of March 31, 2026 and December 31, 2025. The effective interest rate as of March 31, 2026 was 17.16%. In connection with the deferred royalty obligation, we incurred debt issuance costs totaling $3.3 million. Debt issuance costs have been netted against the debt and are being amortized over the estimated term of the 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short and long-term classification of these costs, as well as the period over which these costs will be amortized.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agreements, principally relating to licensed technology, that require future payments relating to milestones whose achievement may become probable in subsequent periods, or royalties on future sales of specified products. Additionally, the Company is party to various contracts with CROs and CMOs that generally provide for termination on notice, with the exact amounts in the event of termination to be based on the timing of the termination and the terms of the agreement. Based on the Company’s current development plans as of March 31, 2026, the Company does not deem it probable that we will make material milestone payments to third parties during the next 12 months from the filing of this Form 10-Q, in connection with our license agreements. These milestones are generally recognized in the period in which the achievement of the underlying milestones becomes probable. When the achievement of these milestones or sales have not occurred, such contingencies are not recorded in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15. Segment and Geographic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about which separate discrete information is available for evaluation by the chief operating decision maker, or decision-making group, in deciding how to allocate resources and in assessing performance. The Company currently operates in two business segments, which are U.S. and international segments for the development and commercialization of therapies for patients with rare diseases. A single management team that reports to the Chief Executive Officer comprehensively manages the entire business. The Company meets the aggregation criteria of ASC 280 and therefore has one reportable segment for the three months ended March 31, 2026 and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profit or loss, including significant segment expenses (in thousands):</w:t>
      </w:r>
    </w:p>
    <w:tbl>
      <w:tblPr>
        <w:tblW w:w="7108" w:type="dxa"/>
        <w:jc w:val="left"/>
        <w:tblInd w:w="0" w:type="dxa"/>
        <w:tblLayout w:type="fixed"/>
        <w:tblCellMar>
          <w:top w:w="28" w:type="dxa"/>
          <w:left w:w="28" w:type="dxa"/>
          <w:bottom w:w="28" w:type="dxa"/>
          <w:right w:w="28" w:type="dxa"/>
        </w:tblCellMar>
      </w:tblPr>
      <w:tblGrid>
        <w:gridCol w:w="1411"/>
        <w:gridCol w:w="1242"/>
        <w:gridCol w:w="1246"/>
        <w:gridCol w:w="225"/>
        <w:gridCol w:w="849"/>
        <w:gridCol w:w="116"/>
        <w:gridCol w:w="116"/>
        <w:gridCol w:w="116"/>
        <w:gridCol w:w="116"/>
        <w:gridCol w:w="225"/>
        <w:gridCol w:w="849"/>
        <w:gridCol w:w="116"/>
        <w:gridCol w:w="109"/>
        <w:gridCol w:w="109"/>
        <w:gridCol w:w="109"/>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 - U.S.</w:t>
            </w:r>
          </w:p>
        </w:tc>
        <w:tc>
          <w:tcPr>
            <w:tcW w:w="2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24,369 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 - International</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net product revenue </w:t>
            </w:r>
          </w:p>
        </w:tc>
        <w:tc>
          <w:tcPr>
            <w:tcW w:w="107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60,112 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37,718 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net </w:t>
            </w:r>
          </w:p>
        </w:tc>
        <w:tc>
          <w:tcPr>
            <w:tcW w:w="107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60,112 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32,704 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 headcount expense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Preclinical, clinical and development expense </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&amp; medical affairs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general &amp; administrative </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(55,639)</w:t>
            </w:r>
          </w:p>
        </w:tc>
        <w:tc>
          <w:tcPr>
            <w:tcW w:w="1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(49,498)</w:t>
            </w:r>
          </w:p>
        </w:tc>
        <w:tc>
          <w:tcPr>
            <w:tcW w:w="1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Geographic Data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allocates, for the purpose of geographic data reporting, its revenue based upon the location of its customers. Total product revenue, net, by geographic area was as follows (in thousands):</w:t>
      </w:r>
    </w:p>
    <w:tbl>
      <w:tblPr>
        <w:tblW w:w="5472" w:type="dxa"/>
        <w:jc w:val="left"/>
        <w:tblInd w:w="0" w:type="dxa"/>
        <w:tblLayout w:type="fixed"/>
        <w:tblCellMar>
          <w:top w:w="28" w:type="dxa"/>
          <w:left w:w="28" w:type="dxa"/>
          <w:bottom w:w="28" w:type="dxa"/>
          <w:right w:w="28" w:type="dxa"/>
        </w:tblCellMar>
      </w:tblPr>
      <w:tblGrid>
        <w:gridCol w:w="814"/>
        <w:gridCol w:w="721"/>
        <w:gridCol w:w="729"/>
        <w:gridCol w:w="239"/>
        <w:gridCol w:w="817"/>
        <w:gridCol w:w="123"/>
        <w:gridCol w:w="123"/>
        <w:gridCol w:w="123"/>
        <w:gridCol w:w="123"/>
        <w:gridCol w:w="239"/>
        <w:gridCol w:w="817"/>
        <w:gridCol w:w="123"/>
        <w:gridCol w:w="109"/>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w:t>
            </w:r>
          </w:p>
        </w:tc>
        <w:tc>
          <w:tcPr>
            <w:tcW w:w="2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24,369 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 net</w:t>
            </w:r>
          </w:p>
        </w:tc>
        <w:tc>
          <w:tcPr>
            <w:tcW w:w="23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60,112 </w:t>
            </w:r>
          </w:p>
        </w:tc>
        <w:tc>
          <w:tcPr>
            <w:tcW w:w="1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37,718 </w:t>
            </w:r>
          </w:p>
        </w:tc>
        <w:tc>
          <w:tcPr>
            <w:tcW w:w="1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long-lived assets at locations outside the United States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events or transactions that occur after the balance sheet date but prior to the issuance of the financial statements to provide additional evidence for certain estimates or to identify matters that require additional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ind w:left="0" w:right="0" w:firstLine="720"/>
        <w:jc w:val="both"/>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on Form 10-Q. In addition to historical information, some of the information contained in this discussion and analysis or set forth elsewhere in this Quarterly Report on Form 10-Q contains forward-looking statements within the meaning of Section 27A of the Securities Act of 1933, as amended, and Section 21E of the Securities Exchange Act of 1934, as amended, and is subject to the “safe harbor” created by those sections. All statements other than statements of historical facts contained in this Quarterly Report on Form 10-Q, including without limitation statements regarding: the promise or potential of any of our products or product candidates; the marketing, commercialization, and sales of IMCIVREE (setmelanotide), including marketing approval in Japan and the timing thereof; the design, success, cost and timing of our product development activities and clinical trials for setmelanotide, RM-718, bivamelagon, and our other product candidates; our ability to obtain regulatory approval for setmelanotide in further indications, as well as for RM-718, bivamelagon, and our other product candidates; our financial performance, including our expectations regarding our existing cash, operating losses, expenses and sources of future financing;</w:t>
      </w:r>
      <w:r>
        <w:rPr>
          <w:color w:val="000000"/>
        </w:rPr>
        <w:t xml:space="preserve"> </w:t>
      </w:r>
      <w:r>
        <w:rPr>
          <w:rFonts w:ascii="Times New Roman;serif" w:hAnsi="Times New Roman;serif"/>
          <w:b w:val="false"/>
          <w:i/>
          <w:color w:val="000000"/>
          <w:sz w:val="20"/>
        </w:rPr>
        <w:t>the sufficiency of our cash, cash equivalents and short-term investments to fund our operations; our ability to hire and retain necessary personnel; patient enrollments and the timing thereof; the timing of announcements regarding results of clinical trials; our ability to protect our intellectual property; ongoing activities under and our ability to negotiate our collaboration and license agreements, if needed, and the impact of termination; our marketing, commercial sales, revenue generation, and cost of revenue; expectations surrounding our manufacturing arrangements; the impact of the current or future economic conditions on our business and operations and our future financial results; and other statements identified by words such as “anticipates,” “believes,” “could,” “estimates,” “expects,” “intends,” “may,” “might,” “likely,” “plans,” “potential,” “predicts,” “projects,” “seeks,” “should,” “target,” “will,” “would,” or similar expressions and the negatives of those terms are forward-looking statements. These forward-looking statements are neither promises nor guarantees of future performance, and are subject to a variety of known and unknown risks, uncertainties, and other important factors, many of which are beyond our control, and which could cause actual results to differ materially from those contemplated in such forward-looking statements. We discuss factors that we believe could cause or contribute to these differences below and elsewhere in this report, including but not limited to those set forth in Part II, Item 1A under the heading “Risk Factors” of this Quarterly Report on Form 10-Q. Except as may be required by law, we have no plans to update our forward-looking statements to reflect events or circumstances after the date of this Quarterly Report on Form 10-Q. We caution readers not to place undue reliance upon any such forward-looking statements, which speak only as of the date made.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We are a global, commercial-stage biopharmaceutical company dedicated to transforming the lives of patients living with rare neuroendocrine diseases. We are focused on advancing our melanocortin-4 receptor (MC4R) agonists, including our lead asset, IMCIVREE</w:t>
      </w:r>
      <w:r>
        <w:rPr>
          <w:rFonts w:ascii="Times New Roman;serif" w:hAnsi="Times New Roman;serif"/>
          <w:b w:val="false"/>
          <w:color w:val="000000"/>
          <w:sz w:val="1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(setmelanotide), as precision medicines designed to treat hyperphagia and severe obesity caused by MC4R pathway diseases. While obesity affects hundreds of millions of people worldwide, we are advancing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(HO), Bardet-Biedl syndrome (BBS) or other diseases caused by impaired MC4R pathway signaling. The MC4R pathway is a neuroendocrine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United Kingdom, Canada and other countries and regions. </w:t>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IMCIVREE is approved by the U.S. Food and Drug Administration (FDA) to reduce excess body weight and maintain weight reduction long term in adult and pediatric patients aged 4 years and older with acquired HO and in adult and pediatric patients aged 2 years and older with syndromic or monogenic obesity due to BBS or pro-opiomelanocortin (POMC), proprotein convertase subtilisin/kexin type 1 (PCSK1), or leptin receptor (LEPR) deficiency as determined by genetic testing demonstrating variants in POMC, PCSK1, or LEPR genes that are interpreted as pathogenic, likely pathogenic, or of uncertain significance (VUS). The European Commission (EC) has authorized IMCIVREE for the treatment of obesity and the control of hunger </w:t>
      </w:r>
      <w:r>
        <w:rPr>
          <w:rFonts w:ascii="Times New Roman;serif" w:hAnsi="Times New Roman;serif"/>
          <w:b w:val="false"/>
          <w:color w:val="000000"/>
          <w:sz w:val="20"/>
        </w:rPr>
        <w:t xml:space="preserve">in adults and children 4 years of age and above with acquired hypothalamic obesity (aHO) due to hypothalamic injury or impairment, and </w:t>
      </w:r>
      <w:r>
        <w:rPr>
          <w:rFonts w:ascii="Times New Roman;serif" w:hAnsi="Times New Roman;serif"/>
          <w:b w:val="false"/>
          <w:color w:val="000000"/>
          <w:sz w:val="20"/>
          <w:shd w:fill="FFFFFF" w:val="clear"/>
        </w:rPr>
        <w:t>for the treatment of obesity and the control of hunger associated with</w:t>
      </w:r>
      <w:r>
        <w:rPr>
          <w:color w:val="000000"/>
        </w:rPr>
        <w:t xml:space="preserve"> </w:t>
      </w:r>
      <w:r>
        <w:rPr>
          <w:rFonts w:ascii="Times New Roman;serif" w:hAnsi="Times New Roman;serif"/>
          <w:b w:val="false"/>
          <w:color w:val="000000"/>
          <w:sz w:val="20"/>
          <w:shd w:fill="FFFFFF" w:val="clear"/>
        </w:rPr>
        <w:t xml:space="preserve">genetically confirmed BBS or loss-of-function biallelic POMC, including PCSK1, deficiency or biallelic LEPR deficiency in adults and children 2 years of age and above. The United Kingdom’s Medicines &amp; Healthcare Products Regulatory Agency (MHRA) has authorized IMCIVREE for the treatment of obesity and the control of hunger associated with genetically confirmed BBS or loss-of-function biallelic POMC, including PCSK1, deficiency or biallelic LEPR deficiency in adults and children 2 years of age and above. In addition to the United States, we have achieved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access or named patient sales of IMCIVREE for BBS or POMC and LEPR deficiencies, or both, in more </w:t>
      </w:r>
      <w:r>
        <w:rPr>
          <w:rFonts w:ascii="Times New Roman;serif" w:hAnsi="Times New Roman;serif"/>
          <w:b w:val="false"/>
          <w:color w:val="000000"/>
          <w:sz w:val="20"/>
        </w:rPr>
        <w:t xml:space="preserve">than 25 countries </w:t>
      </w:r>
      <w:r>
        <w:rPr>
          <w:rFonts w:ascii="Times New Roman;serif" w:hAnsi="Times New Roman;serif"/>
          <w:b w:val="false"/>
          <w:color w:val="000000"/>
          <w:sz w:val="20"/>
          <w:shd w:fill="FFFFFF" w:val="clear"/>
        </w:rPr>
        <w:t>outside the United States, and we continue to collaborate with authorities to achieve access in additional markets.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IMCIVREE’s label expansion to treat patients living with acquired HO was approved by the U.S. FDA on March 19, 2026, and a similar expansion of its marketing authorization was approved by the European Commission on April 30, 2026, making it the first approved therapy in the United States and the first approved therapy in Europe for patients with this rare disease. These approvals were supported by the positive pivotal Phase 3 TRANSCEND trial of setmelanotide in 142 patients with acquired HO. The global study met its primary endpoint, with a statistically significant -18.4% placebo-adjusted reduction in body mass index (BMI). For the primary endpoint of mean BMI change from baseline, study participants on setmelanotide therapy (n=94) achieved a -15.8% reduction compared with a +2.6% increase among patients on placebo (n=48) at 52 weeks (p&lt;0.0001). Setmelanotide was generally well tolerated in the Phase 3 trial. The most common adverse events (affecting &gt;20% of participants) were skin hyperpigmentation, nausea, vomiting and headache. In addition, on May 5, 2026, we announced that our Japanese New Drug Application (JNDA) for setmelanotide to treat acquired HO was accepted, validated and is now under review by Japan’s Pharmaceuticals and Medical Devices Agency (PMDA)</w:t>
      </w:r>
      <w:r>
        <w:rPr>
          <w:rFonts w:ascii="Times New Roman;serif" w:hAnsi="Times New Roman;serif"/>
          <w:b w:val="false"/>
          <w:color w:val="008080"/>
          <w:sz w:val="20"/>
        </w:rPr>
        <w:t xml:space="preserve">. </w:t>
      </w:r>
      <w:r>
        <w:rPr>
          <w:rFonts w:ascii="Times New Roman;serif" w:hAnsi="Times New Roman;serif"/>
          <w:b w:val="false"/>
          <w:color w:val="000000"/>
          <w:sz w:val="20"/>
        </w:rPr>
        <w:t>We anticipate PMDA's decision on the application in the second half of 2026 and, if positive, expect commercial launch by the end of 2026.</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Acquired hypothalamic obesity is a rare form of obesity that occurs following damage to the hypothalamic region of the brain. This disease most frequently follows the growth or surgical removal of craniopharyngioma, astrocytoma or other rare brain tumors. Additional causes of injury may include traumatic brain injury, stroke, or inflammation. Patients experience accelerated weight gain, a reduction in energy expenditure, and hyperphagia (a chronic pathological condition characterized by insatiable hunger, impaired satiety, and persistent abnormal food-seeking behaviors) leading to accelerated onset of severe obesity. We estimate there are approximately 10,000 people living with hypothalamic obesity in the U.S., 5,000 to 8,000 people living with hypothalamic obesity in Japan, and approximately 10,000 people living with hypothalamic obesity in the E.U.</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our commercial efforts and inclusive of late-stage development efforts, we are advancing what we believe is the most comprehensive clinical research and development program ever initiated in MC4R pathway diseases, with multiple ongoing and planned clinical trials. Our MC4R pathway program is designed to expand the total number of patients who we believe would benefit from setmelanotide therapy or advance one of our other drug candidates, including RM-718, which is designed to be a more selective MC4R agonist with weekly administration, and bivamelagon, an investigational oral small molecule MC4R agonist in Phase 2 clinical trials. As mentioned above, our Phase 3 trial of setmelanotide in patients with acquired HO met the primary and key secondary endpoints, and we have initiated an additional, independent substudy in patients with congenital hypothalamic obesity as part of that trial.</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advancing our next-generation MC4R agonists in clinical trials. In July 2025, we announced bivamelagon achieved statistically significant and clinically meaningful BMI reductions at 14 weeks of treatment in a Phase 2 trial in patients with acquired HO. We also anticipate completing enrollment in Part C of the Phase 1 trial evaluating the weekly RM-718 in patients with acquired hypothalamic obesity in the first quarter of 2026.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are advancing MC4R agonists with the intention to improve the treatment landscape for patients living with Prader</w:t>
        <w:noBreakHyphen/>
        <w:t xml:space="preserve">Willi syndrome (PWS), a rare, complex genetic neurodevelopmental disorder characterized by hyperphagia, severe obesity risk, and significant metabolic, cognitive, and behavioral complications. PWS affects approximately one in 10,000 to 30,000 individuals worldwide, and approximately 20,000 patients in the United States. Based on the central role of MC4R pathway dysfunction in PWS, we believe that targeting this biology represents a compelling therapeutic approach. On December 11, 2025, we announced positive interim results from our exploratory Phase 2 trial of setmelanotide in patients with PWS. Setmelanotide demonstrated BMI and hyperphagia reductions at month 3 and month 6, as well as safety and tolerability results consistent with setmelanotide’s well-established clinical profile. In addition to this ongoing trial of setmelanotide, we have begun enrolling patients in a Phase 2 trial evaluating RM-718 in PWS. </w:t>
      </w:r>
    </w:p>
    <w:p>
      <w:pPr>
        <w:pStyle w:val="TextBody"/>
        <w:bidi w:val="0"/>
        <w:spacing w:lineRule="auto" w:line="268" w:before="0" w:after="240"/>
        <w:ind w:left="0" w:right="0" w:firstLine="720"/>
        <w:jc w:val="both"/>
        <w:rPr/>
      </w:pPr>
      <w:r>
        <w:rPr>
          <w:rFonts w:ascii="Times New Roman;serif" w:hAnsi="Times New Roman;serif"/>
          <w:b w:val="false"/>
          <w:color w:val="000000"/>
          <w:sz w:val="20"/>
          <w:shd w:fill="FFFFFF" w:val="clear"/>
        </w:rPr>
        <w:t xml:space="preserve">We continue to leverage what we believe is the largest known DNA database focused on obesity - with approximately 120,000 sequencing samples as of December 31, 2025 - to improve the understanding, diagnosis and care of people living with severe obesity due to certain variants in genes associated with the MC4R pathway. Our Phase 3 EMANATE trial did not achieve the primary endpoint in each of its four independent substudies evaluating setmelanotide in genetically caused MC4R pathway diseases, but we did see positive signals in two genetic indications. </w:t>
      </w:r>
      <w:r>
        <w:rPr>
          <w:rFonts w:ascii="Times New Roman;serif" w:hAnsi="Times New Roman;serif"/>
          <w:b w:val="false"/>
          <w:color w:val="000000"/>
          <w:sz w:val="20"/>
        </w:rPr>
        <w:t xml:space="preserve">We continue to analyze the EMANATE results and evaluate potential clinical development paths to develop one of our product candidates in patients with SRC1 (NCOA1) deficiency and POMC insufficiency, including with our next-generation MC4R agonists bivamelagon or RM-718. In addition, we plan to continue to evaluate the potential for MC4R agonism in the genes and gene families previously identified through the exploratory Phase 2 DAYBREAK trial, including the SEMA3 family, PHIP, TBX3 or PLXNA family. </w:t>
      </w:r>
      <w:r>
        <w:rPr>
          <w:rFonts w:ascii="Times New Roman;serif" w:hAnsi="Times New Roman;serif"/>
          <w:b w:val="false"/>
          <w:color w:val="000000"/>
          <w:sz w:val="20"/>
          <w:shd w:fill="FFFFFF" w:val="clear"/>
        </w:rPr>
        <w:t xml:space="preserve">Our sequencing-based epidemiology estimates show that each of these genetically-defined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MC4R pathway deficiencies are considered rare diseases, according to established definitions based on patient populations. Our epidemiology estimates are approximately 4,600 to 7,500 for U.S. patients in setmelanotide's initial FDA-approved indications, including obesity due to biallelic POMC, PCSK1 or LEPR deficiencies, and BBS. Our epidemiology estimates for the two more prevalent indications studied in our Phase 3 EMANATE trial (SRC1 deficiency and POMC/PCSK1 insufficiency) suggest that approximately 26,000 U.S. patients with one of these genetically driven obesities have the potential to respond well to setmelanotide. Similarly, our epidemiology estimates for patients with genetic indications who demonstrated an initial response following stage 1 of our Phase 2 DAYBREAK trial is approximately 65,300. We believe that all these patients face similar challenges as other patients with rare diseases, namely lack of awareness, resources, tests, tools and, especially, therapeutic options. </w:t>
      </w:r>
    </w:p>
    <w:p>
      <w:pPr>
        <w:pStyle w:val="TextBody"/>
        <w:bidi w:val="0"/>
        <w:spacing w:lineRule="auto" w:line="26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Additional recent clinical, regulatory, corporate and commercial updates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May 5, 2026, we announced that more than 150 patient start forms had been received for IMCIVREE in acquired hypothalamic obesity (HO) in the United States, within the first six weeks following approval by the U.S. Food and Drug Administration on March 19,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 May 5, 2026 we announced revenue from global sales of IMCIVREE was $60.1 million for the first quarter of 2026, an increase of 5% on a sequential basis from the fourth quarter of 2025, primarily driven by sales of IMCIVREE for the treatment of patients with Bardet-Biedl syndrome (BBS) and an increase in the number of patients on reimbursed therapy globally. In the first quarter of 2026, revenue of $36.9 million, or 61% of product revenue, was generated in the United States, a decrease of 5% on a sequential basis primarily driven by specialty pharmacy inventory and some patients receiving drug under the Company’s bridging program as they transitioned insurance plans during the quarter. Revenue of $23.2 million, or 39% of product revenue, was generated outside the United States, a sequential increase of $4.9 million or 27%;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May 5, 2026, we announced positive data from the Japanese cohort of our Phase 3 TRANSCEND study and that our New Drug Application for setmelanotide to treat acquired HO has been accepted, validated and is now under review by Japan’s Pharmaceuticals and Medical Devices Agency (PMDA). We anticipate PMDA's decision on the application in the second half of 2026 and, if positive, commercial launch by the end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May 4, 2026, we announced new data presented at the Pediatric Endocrine Society Annual Meeting demonstrating sustained reductions in BMI and BMI Z</w:t>
        <w:noBreakHyphen/>
        <w:t>score through 2.5 years of setmelanotide treatment and observed weight category improvements in pediatric patients (n=10) with acquired hypothalamic obesity and a second presentation demonstrating weight category improvement in the pediatric subpopulation of participants after 1 year of setmelanotide treatment;</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On April 3, 2026, we announced the appointment of Kim Popovits to our Board of Directors and the resignation of Ed Mathers.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March 26, 2026, the EMA's CHMP adopted a positive opinion recommending to expand the current marketing authorization for IMCIVREE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(setmelanotide) to include the treatment of obesity and the control of hunger in adults and children 4 years of age and above with acquired HO due to hypothalamic injury or impairment;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March 19, 2026, the FDA approved a label expansion for IMCIVREE to reduce excess body weight and maintain reduction long term in adults and pediatric patients aged 4 years and older with acquired HO;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March 16, 2026, we announced topline results from the Phase 3 EMANATE trial. None of the trial’s four sub-studies met the primary endpoint, which was the difference in mean percent change in BMI from baseline to Week 52 versus placebo, analyzed in the modified intent-to-treat (ITT) population using prespecified multiple imputation to account for missing values and discontinuations. Topline results include:</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POMC / PCSK1 Hets (N=78): –4.3% placebo-adjusted reduction in BMI (p=0.15);</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LEPR Hets (N=23): –3.6% placebo-adjusted reduction in BMI (p=0.94);</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SRC1 (NCOA1) (N=73): –4.0% placebo-adjusted reduction in BMI (p=0.12);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SH2B1 (N=121): –1.7% placebo-adjusted reduction in BMI (p=0.43).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According to post hoc analyses based on last observation carried forward (LOCF) for missing values, setmelanotide achieved statistically significant and clinically meaningful BMI reductions at Week 52 in the modified intent-to-treat patient populations in the POMC/PCSK1 Hets and SRC1 substudies: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5.5% least-squares mean difference in BMI in POMC/PCSK1 Hets patients (n=78; p=0.0010);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6.2% least-squares mean difference in BMI in SRC1 (NCOA1) patients (n=73; p&lt;0.0001).</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According to post hoc analyses of genetically confirmed patients who reached Week 52 of treatment, setmelanotide achieved statistically significant and clinically meaningful BMI reductions in patients who completed the 52-week trial in the POMC/PCSK1 Hets and SRC1 substudies: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9.7% placebo-adjusted reduction in BMI in POMC/PCSK1 Hets patients (n=41; p=0.0002);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8.0% placebo-adjusted reduction in BMI in SRC1 (NCOA1) patients (n=29; p=0.0158).</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On February 26, 2026, we announced completion of an end-of-Phase-2 meeting with FDA regarding bivamelagon in acquired HO and disclosed encouraging open-label extension data from our Phase 2 trial that showed bivamelagon achieved persistent BMI reductions at six and nine months of therapy.</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anticipate the following, near-term milestones: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Announce six-month results from the ongoing exploratory Phase 2 trial of setmelanotide in PWS in the second quarter of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European Commission decision on the Type II Variation for IMCIVREE in acquired hypothalamic obesity in the second quarter of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Announce results from the Phase 1/2, Part C trial evaluating the weekly, MC4R agonist RM-718 in patients with acquired HO mid-year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Complete enrollment in the substudy evaluating setmelanotide in congenital HO in the second half of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Complete enrollment in the Phase 1/2,</w:t>
      </w:r>
      <w:r>
        <w:rPr>
          <w:color w:val="000000"/>
        </w:rPr>
        <w:t xml:space="preserve"> </w:t>
      </w:r>
      <w:r>
        <w:rPr>
          <w:rFonts w:ascii="Times New Roman;serif" w:hAnsi="Times New Roman;serif"/>
          <w:b w:val="false"/>
          <w:color w:val="000000"/>
          <w:sz w:val="20"/>
          <w:shd w:fill="FFFFFF" w:val="clear"/>
        </w:rPr>
        <w:t>Part D trial evaluating RM-718 in PWS in the second half of 2026;</w:t>
      </w:r>
      <w:r>
        <w:rPr>
          <w:color w:val="000000"/>
        </w:rPr>
        <w:t xml:space="preserve"> </w:t>
      </w:r>
      <w:r>
        <w:rPr>
          <w:rFonts w:ascii="Times New Roman;serif" w:hAnsi="Times New Roman;serif"/>
          <w:b w:val="false"/>
          <w:color w:val="000000"/>
          <w:sz w:val="20"/>
        </w:rPr>
        <w:t>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Initiate a pivotal Phase 3 trial evaluating bivamelagon in acquired HO by year-end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IMCIVREE's initial approval in the United States and marketing authorizations in the EU, Great Britain and Canada, we are continuing to pursue a country-by-country strategy to establish market access and reimbursement for IMCIVREE in additional countries. We expect we may need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arrangements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we have raised funds through the issuance of common and preferred equity, the sale of assets and a Revenue Interest Financing Agreement, or RIFA. 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expect we may need to continue to fund our operations through the sale of equity, debt financings or other sources. We have built our own marketing and commercial sales infrastructure in the United States and are in the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pStyle w:val="TextBody"/>
        <w:bidi w:val="0"/>
        <w:spacing w:lineRule="auto" w:line="288" w:before="24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an accumulated deficit of $1.4 billion. Our net loss was $55.6 million and $49.5 million for the three months ended March 31, 2026 and March 31, 2025. We expect to continue to incur significant expenses and operating losses for the foreseeable future. Our expenses may increase in connection with our ongoing activities, as we: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continue to conduct clinical trials for setmelanotide </w:t>
      </w:r>
      <w:r>
        <w:rPr>
          <w:rFonts w:ascii="Times New Roman;serif" w:hAnsi="Times New Roman;serif"/>
          <w:b w:val="false"/>
          <w:color w:val="000000"/>
          <w:sz w:val="20"/>
          <w:shd w:fill="FFFFFF" w:val="clear"/>
        </w:rPr>
        <w:t>and our other product candidates</w:t>
      </w:r>
      <w:r>
        <w:rPr>
          <w:rFonts w:ascii="Times New Roman;serif" w:hAnsi="Times New Roman;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engage contract manufacturing organizations, or CMOs, for the manufacture of clinical and commercial-grade setmelanotide;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seek regulatory approval for setmelanotide for </w:t>
      </w:r>
      <w:r>
        <w:rPr>
          <w:rFonts w:ascii="Times New Roman;serif" w:hAnsi="Times New Roman;serif"/>
          <w:b w:val="false"/>
          <w:color w:val="000000"/>
          <w:sz w:val="20"/>
          <w:shd w:fill="FFFFFF" w:val="clear"/>
        </w:rPr>
        <w:t>future indications, and for our other product candidates</w:t>
      </w:r>
      <w:r>
        <w:rPr>
          <w:rFonts w:ascii="Times New Roman;serif" w:hAnsi="Times New Roman;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expand our clinical </w:t>
      </w:r>
      <w:r>
        <w:rPr>
          <w:rFonts w:ascii="Times New Roman;serif" w:hAnsi="Times New Roman;serif"/>
          <w:b w:val="false"/>
          <w:color w:val="000000"/>
          <w:sz w:val="20"/>
          <w:shd w:fill="FFFFFF" w:val="clear"/>
        </w:rPr>
        <w:t>and financial operations and build a marketing and commercialization infrastructure</w:t>
      </w:r>
      <w:r>
        <w:rPr>
          <w:rFonts w:ascii="Times New Roman;serif" w:hAnsi="Times New Roman;serif"/>
          <w:b w:val="false"/>
          <w:color w:val="000000"/>
          <w:sz w:val="20"/>
        </w:rPr>
        <w:t xml:space="preserv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engage in the sales and marketing efforts necessary to support the continued commercial efforts of IMCIVREE globally;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take into account the levels, timing and collection of revenue earned from sales of IMCIVREE and other products approved in the future, if any;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continue to operate as a public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our existing cash and cash equivalents and short-term investments were approximately $340.6 million. We expect that our cash and cash equivalents and short-term investments as of March 31, 2026, will be sufficient to fund our planned operations for at least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generated approximately $482.6 million in product revenue.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the EU in March 2022 under the paid early access program. IMCIVREE was approved by the FDA and the EC in adult and pediatric patients six years of age and older with obesity due to BBS in June and September 2022, respectively.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IMCIVREE was approved by the FDA to reduce excess body weight and maintain reduction long term in adult and pediatric patients aged 4 years and older with acquired hypothalamic obesity (aHO).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these initial approvals, sales of IMCIVREE have grown, and we expect will continue to grow.</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License revenue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three months ended March 31, 2025, we recognized a reduction of previously-recognized license revenue of $5.0 million in connection with the termination of our exclusive license agreement with RareStone. See Note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i/>
          <w:color w:val="000000"/>
          <w:sz w:val="20"/>
          <w:shd w:fill="FFFFFF" w:val="clear"/>
        </w:rPr>
        <w:t>Significant Agreements</w:t>
      </w:r>
      <w:r>
        <w:rPr>
          <w:rFonts w:ascii="Times New Roman;serif" w:hAnsi="Times New Roman;serif"/>
          <w:b w:val="false"/>
          <w:color w:val="000000"/>
          <w:sz w:val="20"/>
          <w:shd w:fill="FFFFFF" w:val="clear"/>
        </w:rPr>
        <w:t>, to the unaudited condensed consolidated financial statements included under Part I, Item 1 of this Quarterly Report on Form 10-Q.</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sales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inventory of IMCIVREE produced prior to FDA approval is available for commercial or clinical use. Most of the manufacturing costs have been recorded as research and development expenses in prior periods. We expect cost of sales to increase in 2026 as we continue to sell inventory that is produced after we began capitalizing manufacturing costs for IMCIVREE commercial inventory.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including our drug discovery and genetic sequencing efforts, and the clinical development of setmelanotide, which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employee-related expenses including salaries, benefits and stock-based compensation expense;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cost of lab supplies and acquiring, developing and manufacturing preclinical and clinical study materials;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 of genetic sequencing of potential patients in clinical studies;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facilities, depreciation, and other expenses, which include rent and maintenance of facilities, insurance and other operating costs.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current research and development expenses:</w:t>
      </w:r>
    </w:p>
    <w:tbl>
      <w:tblPr>
        <w:tblW w:w="5939" w:type="dxa"/>
        <w:jc w:val="left"/>
        <w:tblInd w:w="0" w:type="dxa"/>
        <w:tblLayout w:type="fixed"/>
        <w:tblCellMar>
          <w:top w:w="28" w:type="dxa"/>
          <w:left w:w="28" w:type="dxa"/>
          <w:bottom w:w="28" w:type="dxa"/>
          <w:right w:w="28" w:type="dxa"/>
        </w:tblCellMar>
      </w:tblPr>
      <w:tblGrid>
        <w:gridCol w:w="1004"/>
        <w:gridCol w:w="884"/>
        <w:gridCol w:w="886"/>
        <w:gridCol w:w="109"/>
        <w:gridCol w:w="109"/>
        <w:gridCol w:w="109"/>
        <w:gridCol w:w="369"/>
        <w:gridCol w:w="352"/>
        <w:gridCol w:w="183"/>
        <w:gridCol w:w="183"/>
        <w:gridCol w:w="183"/>
        <w:gridCol w:w="183"/>
        <w:gridCol w:w="369"/>
        <w:gridCol w:w="352"/>
        <w:gridCol w:w="183"/>
        <w:gridCol w:w="109"/>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Research and development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0"/>
        </w:rPr>
        <w:t>We are unable to predict the duration and costs of the current or future clinical trials of our product candidates.</w:t>
      </w:r>
      <w:r>
        <w:rPr>
          <w:color w:val="000000"/>
          <w:shd w:fill="FFFFFF" w:val="clear"/>
        </w:rPr>
        <w:t xml:space="preserve"> </w:t>
      </w:r>
      <w:r>
        <w:rPr>
          <w:rFonts w:ascii="Times New Roman;serif" w:hAnsi="Times New Roman;serif"/>
          <w:b w:val="false"/>
          <w:color w:val="000000"/>
          <w:sz w:val="20"/>
          <w:shd w:fill="FFFFFF" w:val="clear"/>
        </w:rPr>
        <w:t>The duration, costs, and timing of clinical trials and development of setmelanotide, RM-718, bivamelagon, and a potential therapeutic product candidate for congenital hyperinsulinism (CHI) will depend on a variety of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scope, rate of progress, and expense of our ongoing, as well as any additional, clinical trials and other research and development activities;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rate of enrollment in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safety and efficacy demonstrated by setmelanotide and other product candidates in future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regulatory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clinical trial design;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and receipt of any regulatory approvals.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our product candidates would significantly change the costs and timing associated with its development and potential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professional fees related to preparation for the continued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other related costs, including stock-based compensation, relating to our full-time employees not involved in R&amp;D or commercial activities. Other significant costs include rent, information technology, legal fees relating to patent and corporate matters and fees for accounting and consulting services.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current selling, general and administrative expenses:</w:t>
      </w:r>
    </w:p>
    <w:tbl>
      <w:tblPr>
        <w:tblW w:w="6825" w:type="dxa"/>
        <w:jc w:val="left"/>
        <w:tblInd w:w="0" w:type="dxa"/>
        <w:tblLayout w:type="fixed"/>
        <w:tblCellMar>
          <w:top w:w="28" w:type="dxa"/>
          <w:left w:w="28" w:type="dxa"/>
          <w:bottom w:w="28" w:type="dxa"/>
          <w:right w:w="28" w:type="dxa"/>
        </w:tblCellMar>
      </w:tblPr>
      <w:tblGrid>
        <w:gridCol w:w="1325"/>
        <w:gridCol w:w="1166"/>
        <w:gridCol w:w="1169"/>
        <w:gridCol w:w="109"/>
        <w:gridCol w:w="109"/>
        <w:gridCol w:w="109"/>
        <w:gridCol w:w="369"/>
        <w:gridCol w:w="352"/>
        <w:gridCol w:w="183"/>
        <w:gridCol w:w="183"/>
        <w:gridCol w:w="183"/>
        <w:gridCol w:w="183"/>
        <w:gridCol w:w="369"/>
        <w:gridCol w:w="352"/>
        <w:gridCol w:w="183"/>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selling, general and administrative expenses will increase in the future to support our continued and expanding commercialization efforts for IMCIVREE in the United States and the European Union as well as increased costs of operating as a global, commercial-stage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Securities and Exchange Commission, or SEC, expenses, insurance and investor relations costs, among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estimates could occur in the future. We base our estimates on historical experience and on various other factors that we believe are reasonable under the circumstances, the results of which form the basis for making judgments about the </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carrying value of assets and liabilities that are not readily apparent from other sources. Actual results may differ from these estimates under different assumptions or conditions.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significant changes to our critical accounting policies as reported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March 31, 2026 and 2025, together with the changes in those items in dollars and as a percentage:</w:t>
      </w:r>
    </w:p>
    <w:tbl>
      <w:tblPr>
        <w:tblW w:w="8110" w:type="dxa"/>
        <w:jc w:val="left"/>
        <w:tblInd w:w="0" w:type="dxa"/>
        <w:tblLayout w:type="fixed"/>
        <w:tblCellMar>
          <w:top w:w="28" w:type="dxa"/>
          <w:left w:w="28" w:type="dxa"/>
          <w:bottom w:w="28" w:type="dxa"/>
          <w:right w:w="28" w:type="dxa"/>
        </w:tblCellMar>
      </w:tblPr>
      <w:tblGrid>
        <w:gridCol w:w="1086"/>
        <w:gridCol w:w="954"/>
        <w:gridCol w:w="959"/>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40"/>
        <w:gridCol w:w="241"/>
        <w:gridCol w:w="376"/>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License revenue,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112,473 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79,708 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32,765 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(52,361)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(47,004)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(55,094)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(49,418)</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(55,639)</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(49,498)</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(6,141)</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pPr>
      <w:r>
        <w:rPr>
          <w:rFonts w:ascii="Times New Roman;serif" w:hAnsi="Times New Roman;serif"/>
          <w:b w:val="false"/>
          <w:i/>
          <w:color w:val="000000"/>
          <w:sz w:val="20"/>
        </w:rPr>
        <w:t>Product revenue, net</w:t>
      </w:r>
      <w:r>
        <w:rPr>
          <w:rFonts w:ascii="Times New Roman;serif" w:hAnsi="Times New Roman;serif"/>
          <w:b w:val="false"/>
          <w:color w:val="000000"/>
          <w:sz w:val="20"/>
        </w:rPr>
        <w:t>. Product revenue, net increased by $22.4 million to $60.1 million for the three months ended March 31, 2026 from $37.7 million for the three months ended March 31, 2025, an increase of 59%, primarily due to higher volume of product sold both domestically and internationally. We expect our sales of IMCIVREE to continue to increase. We have achieved market access for IMCIVREE for BBS or POMC and LEPR deficiencies, or both, in more than 25 countries outside the United States, and we continue to collaborate with authorities to achieve access in additional markets. For the three months ended March 31, 2026, and 2025, a substantial amount of our product revenue, or 61% and 65%, respectively, was generated from sales of our product to patients in the United States.</w:t>
      </w:r>
    </w:p>
    <w:p>
      <w:pPr>
        <w:pStyle w:val="TextBody"/>
        <w:bidi w:val="0"/>
        <w:spacing w:lineRule="auto" w:line="288" w:before="0" w:after="240"/>
        <w:ind w:left="0" w:right="0" w:firstLine="720"/>
        <w:jc w:val="both"/>
        <w:rPr/>
      </w:pPr>
      <w:r>
        <w:rPr>
          <w:rFonts w:ascii="Times New Roman;serif" w:hAnsi="Times New Roman;serif"/>
          <w:b w:val="false"/>
          <w:i/>
          <w:color w:val="000000"/>
          <w:sz w:val="20"/>
          <w:shd w:fill="FFFFFF" w:val="clear"/>
        </w:rPr>
        <w:t>License revenue</w:t>
      </w:r>
      <w:r>
        <w:rPr>
          <w:rFonts w:ascii="Times New Roman;serif" w:hAnsi="Times New Roman;serif"/>
          <w:b w:val="false"/>
          <w:color w:val="000000"/>
          <w:sz w:val="20"/>
          <w:shd w:fill="FFFFFF" w:val="clear"/>
        </w:rPr>
        <w:t xml:space="preserve">. For the three months ended March 31, 2025, we recognized a reduction of previously-recognized license revenue of $5.0 million in connection with the termination of our exclusive license agreement with RareStone. See Note 12, </w:t>
      </w:r>
      <w:r>
        <w:rPr>
          <w:rFonts w:ascii="Times New Roman;serif" w:hAnsi="Times New Roman;serif"/>
          <w:b w:val="false"/>
          <w:i/>
          <w:color w:val="000000"/>
          <w:sz w:val="20"/>
          <w:shd w:fill="FFFFFF" w:val="clear"/>
        </w:rPr>
        <w:t>Significant Agreements</w:t>
      </w:r>
      <w:r>
        <w:rPr>
          <w:rFonts w:ascii="Times New Roman;serif" w:hAnsi="Times New Roman;serif"/>
          <w:b w:val="false"/>
          <w:color w:val="000000"/>
          <w:sz w:val="20"/>
          <w:shd w:fill="FFFFFF" w:val="clear"/>
        </w:rPr>
        <w:t>, to the unaudited condensed consolidated financial statements included under Part I, Item 1 of this Quarterly Report on Form 10-Q.</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 xml:space="preserve">Cost of sales increased by $3.5 million to $7.2 million for the three months ended March 31, 2026, from $3.6 million for the three months ended March 31, 2025, an increase of 96%, </w:t>
      </w:r>
      <w:r>
        <w:rPr>
          <w:rFonts w:ascii="Times New Roman;serif" w:hAnsi="Times New Roman;serif"/>
          <w:b w:val="false"/>
          <w:color w:val="000000"/>
          <w:sz w:val="20"/>
          <w:shd w:fill="FFFFFF" w:val="clear"/>
        </w:rPr>
        <w:t>which was driven by an increase in net product revenue in the three months ended March 31, 2026</w:t>
      </w:r>
      <w:r>
        <w:rPr>
          <w:rFonts w:ascii="Times New Roman;serif" w:hAnsi="Times New Roman;serif"/>
          <w:b w:val="false"/>
          <w:color w:val="000000"/>
          <w:sz w:val="20"/>
        </w:rPr>
        <w:t>. Cost of sales is composed of royalty expense due to Ipsen Pharma S.A.S., or Ipsen, on our net product revenue, amortization of our capitalized sales-based milestone payment made to Ipsen upon our first commercial sale in the United States and EU, the cost of product, as well as costs associated with our patient assistance programs. Specifically, the $3.5 million increase in cost of sales in the three months ended March 31, 2026, from the same period in 2025, was due to $1.1 million of additional royalties due to our growth in net product revenue and $2.4 million attributed to increased product costs associated with higher net product revenue. We expect cost of sales as a percentage of revenue to continue to be in a range of 10% to 12%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Research and development expense. </w:t>
      </w:r>
      <w:r>
        <w:rPr>
          <w:rFonts w:ascii="Times New Roman;serif" w:hAnsi="Times New Roman;serif"/>
          <w:b w:val="false"/>
          <w:color w:val="000000"/>
          <w:sz w:val="20"/>
        </w:rPr>
        <w:t>Research and development expense increased by $4.8 million to $41.7 million for the three months ended March 31, 2026, from $37.0 million for the three months ended March 31, 2025, an increase of 13%. The net increase was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$7.0 million related to personnel costs including $4.6 million related to salaries, benefits and other compensation costs related to the hiring of additional full-time employees in order to support the growth of our research and development programs, and $2.5 million of stock-based compensation;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increase in patents, licenses and other regulatory costs of $0.6 million.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above increases were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net decrease in clinical trial expenses of $1.7 million driven primarily by a decrease in costs due to the wind down or conclusion of various studies including our long-term extension trial, DAYBREAK Phase 2, EMANATE Phase 3, and Phase 3 HO Setmelanotide trial,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 net decrease of $1.4 million due to the timing of chemistry, manufacturing, and controls (CMC) costs for drug formulation and autoinjector development to support our ongoing clinical trials. </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Selling, general and administrative expense. </w:t>
      </w:r>
      <w:r>
        <w:rPr>
          <w:rFonts w:ascii="Times New Roman;serif" w:hAnsi="Times New Roman;serif"/>
          <w:b w:val="false"/>
          <w:color w:val="000000"/>
          <w:sz w:val="20"/>
        </w:rPr>
        <w:t>Selling, general and administrative expense increased by $24.5 million to $63.6 million for the three months ended March 31, 2026, from $39.1 million for the three months ended March 31, 2025, an increase of 63%. The increase was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$20.1 million related to personnel costs including $7.8 million of stock-based compensation, and $12.3 million related to salaries, benefits and other compensation costs related to the hiring of additional full-time employees to support our expanding business operations as well as to establish commercial operations in international regions,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$3.6 million related to increased marketing and promotion costs to support continued product revenue growth and our product launch for acquired Hypothalamic Obesity.</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expense, net increased by $(0.3) million to $(2.7) million for the three months ended March 31, 2026 from $(2.4) million for the three months ended March 31, 2025. The increases were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$0.8 million in unrealized loss on foreign currency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increase in other expense of $0.3 million recognized on the change in fair value of the embedded derivative on our deferred royalty obligation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$0.2 million in interest expense related to our deferred royalty obligation.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increases were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of $1.1 million of non-cash interest expense in the three months ended March 31, 2026, associated with accretion of LG Chem liability, which was paid in July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cash and cash equivalents and short-term investments were approximately $340.6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three months ended March 31, 2026 and 2025:</w:t>
      </w:r>
    </w:p>
    <w:tbl>
      <w:tblPr>
        <w:tblW w:w="8051" w:type="dxa"/>
        <w:jc w:val="left"/>
        <w:tblInd w:w="0" w:type="dxa"/>
        <w:tblLayout w:type="fixed"/>
        <w:tblCellMar>
          <w:top w:w="28" w:type="dxa"/>
          <w:left w:w="28" w:type="dxa"/>
          <w:bottom w:w="28" w:type="dxa"/>
          <w:right w:w="28" w:type="dxa"/>
        </w:tblCellMar>
      </w:tblPr>
      <w:tblGrid>
        <w:gridCol w:w="2013"/>
        <w:gridCol w:w="1771"/>
        <w:gridCol w:w="1781"/>
        <w:gridCol w:w="223"/>
        <w:gridCol w:w="653"/>
        <w:gridCol w:w="115"/>
        <w:gridCol w:w="115"/>
        <w:gridCol w:w="115"/>
        <w:gridCol w:w="115"/>
        <w:gridCol w:w="223"/>
        <w:gridCol w:w="764"/>
        <w:gridCol w:w="163"/>
      </w:tblGrid>
      <w:tr>
        <w:trPr/>
        <w:tc>
          <w:tcPr>
            <w:tcW w:w="2013"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March 31, </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(40,351)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16,958 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use of cash in all periods resulted primarily from our net loss adjusted for non-cash charges and changes in components of operating assets and liabilities.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operating activities was $44.2 million for the three months ended March 31, 2026 and consisted primarily of a net loss of $55.6 million adjusted for non-cash items of $28.5 million, which consisted of stock-based compensation, non-cash interest expense, non-cash accretion and amortization of short-term investments, depreciation and amortization, non-cash rent expense, the change in the fair value of our embedded derivative asset, and the foreign currency impacts. Additionally, the change in operating assets and liabilities used net cash of approximately $17.0 million and was primarily driven by net increases in accounts receivable of $8.1 million, primarily due to the increase in product revenue, the change in prepaid expenses and other current assets of $0.5 million, the change in inventory of $3.1 million, the change in deferred revenue of $0.1 million, and the decrease in accounts payable, accrued expenses and other liabilities of $5.6 million. These net uses of cash were offset by a decrease in other long-term assets of $0.4 million.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$40.4 million for the three months ended March 31, 2025 and consisted primarily of a net loss of $49.5 million adjusted for non-cash items of $17.1 million, which consisted of stock-based compensation, non-cash interest expense, non-cash accretion and amortization of short-term investments, depreciation and amortization, rent expense and the change in the fair value of our embedded derivative asset. The change in operating assets and liabilities used net cash of approximately $7.9 million and was primarily driven by net decreases in accounts payable and accrued expenses of $3.6 million, the change in deferred revenue of $1.3 million, and net increases in prepaids and other current assets of $3.2 million. These net uses of cash were offset by net increases in other long-term assets of $0.1 million and net increases in accounts receivable and inventory of $0.1 million.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cash provided by investing activities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provided by investing activities was $57.1 million for the three months ending March 31, 2026 and relates to purchases of short-term investments for $42.2 million, offset by gross maturities of short-term investments of $99.3 million.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$24.8 million for the three months ended March 31, 2025 and relates to gross maturities of short-term investments of $58.3 million, offset by purchases of short-term investments for $33.5 million.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financing activities was $5.4 million for the three months ended March 31, 2026, and consisted of proceeds of $7.3 million from the exercise of stock options and the issuance of common stock from our Employee Stock Purchase Plan. These proceeds were offset by $4.3 million of repayments of our deferred royalty obligation and $8.5 million for the net settlement of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$32.5 million for the three months ended March 31, 2025, and consisted of net proceeds of $34.0 million from our ATM equity offering, as well as proceeds of $3.1 million from the exercise of stock options and the issuance of common stock from our Employee Stock Purchase Plan. These proceeds were offset by $4.6 million of repayments of our deferred royalty obligation.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in connection with our ongoing activities, particularly as we continue the clinical development of and seek marketing approval for setmelanotide for future indications, continue the clinical development of our other product candidates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our cash and cash equivalents and short-term investments as of March 31, 2026 will be sufficient to fund our planned operations for at least 24 months.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 to continue to commercialize setmelanotide, by growing our internal sales force or entering into collaborations with third parties and providing support services for patients;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scope, progress, results and costs of clinical trials for our setmelanotide program </w:t>
      </w:r>
      <w:r>
        <w:rPr>
          <w:rFonts w:ascii="Times New Roman;serif" w:hAnsi="Times New Roman;serif"/>
          <w:b w:val="false"/>
          <w:color w:val="000000"/>
          <w:sz w:val="20"/>
          <w:shd w:fill="FFFFFF" w:val="clear"/>
        </w:rPr>
        <w:t>as well as for RM-718 and bivamelagon, and in connection with a therapeutic product candidate for CHI</w:t>
      </w:r>
      <w:r>
        <w:rPr>
          <w:rFonts w:ascii="Times New Roman;serif" w:hAnsi="Times New Roman;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costs, timing and outcome of regulatory review of our setmelanotide program </w:t>
      </w:r>
      <w:r>
        <w:rPr>
          <w:rFonts w:ascii="Times New Roman;serif" w:hAnsi="Times New Roman;serif"/>
          <w:b w:val="false"/>
          <w:color w:val="000000"/>
          <w:sz w:val="20"/>
          <w:shd w:fill="FFFFFF" w:val="clear"/>
        </w:rPr>
        <w:t>as well as for RM-718 and bivamelagon, and in connection with a therapeutic product candidate for CHI</w:t>
      </w:r>
      <w:r>
        <w:rPr>
          <w:rFonts w:ascii="Times New Roman;serif" w:hAnsi="Times New Roman;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obligations owed to Ipsen, Camurus AB, and LGC pursuant to our license agreements;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establish and maintain additional collaborations on favorable terms, if at all;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the global economy, including credit and financial markets, has recently experienced extreme volatility and disruptions, including severely diminished liquidity and credit availability, rising interest and inflation rates, declines and fluctuations in consumer confidence and economic growth, increases in unemployment rates, the imposition of tariffs and other trade barriers, uncertainty about economic stability, and rising political uncertainty. Any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Until such time, if ever, as we can generate substantial product revenues, we expect to finance our cash needs through a combination of equity offerings, debt financings, collaborations, strategic alliances and licensing arrangements.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2, 2021, we entered into a Sales Agreement (the "Prior Sales Agreement") with TD Securities (USA) LLC (“TD Cowen”), pursuant to which we may issue and sell shares of our common stock, having an aggregate offering price of up to $100.0 million, from time to time through an “at the market” equity offering program under which TD Cowen acts as sales agent (the “ATM Program”). Between August 10, 2023 and August 21, 2023, we sold approximately two million shares of our common stock in the ATM Program for net proceeds of approximately $48.9 million.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29, 2024, the Company and TD Cowen entered into Amendment No. 1 to Sales Agreement (the “Amendment”) to increase the aggregate offering price of the shares of common stock that may be issued and sold pursuant to the Prior Sales Agreement to $200.0 million (excluding the aggregate offering price of shares of common stock issued and sold pursuant to the Prior Sales Agreement prior to February 29, 2024). In connection with the Amendment, on February 29, 2024, we filed with the SEC a prospectus supplement, dated February 29, 2024, related to the issuances and sales under the Prior Sales Agreement, as amended by the Amendment.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December 10, 2024 to December 31, 2024, the Company sold 744,595 shares of common stock in the ATM Program for net proceeds of $41.2 million as of December 31, 2024. The Company sold an additional 587,510 shares of common stock in the ATM Program from January 1, 2025 through January 21, 2025 for net proceeds of approximately $32.1 million in the quarter ending March 31, 2025.</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26, 2026, the Company and TD Cowen entered into a new Sales Agreement (the “Sales Agreement”) pursuant to which the Company may issue and sell shares of its common stock, having an aggregate offering price of up to $200.0 million, through its ATM Program. The Sales Agreement supersedes the Prior Sales Agreement between TD Cowen and the Company, dated November 2, 2021, as amended on February 29, 2024, and the Prior Sales Agreement terminated upon the effectiveness of the Sales Agreement. In connection with the Sales Agreement, on February 26, 2026, the Company filed with the SEC a registration statement on Form S-3ASR containing a base prospectus and a prospectus supplement, each dated February 26, 2026, pursuant to which issuances and sales under the Sales Agreement will be made.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were no other material changes to our principal contractual obligations and commitments as reported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were no material changes to our quantitative and qualitative disclosures about market risks as reported in Part II, Item 7A “Quantitative and Qualitative Disclosures About Market Risks”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March 31, 2026, our disclosure controls and procedures were effective at the reasonable assurance level.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4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fiscal quarter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PART II - OTHER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Item 1A. Risk Factors</w:t>
      </w:r>
    </w:p>
    <w:p>
      <w:pPr>
        <w:pStyle w:val="TextBody"/>
        <w:bidi w:val="0"/>
        <w:spacing w:lineRule="auto" w:line="288" w:before="0" w:after="4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Quarterly Report on Form 10-Q for the period ended March 31, 2026 (the “Quarterly Report”), including our unaudited condensed consolidated financial statements and the related notes thereto, and “Management’s Discussion and Analysis of Financial Condition and 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Our Financial Position and Need for Capital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commercial-stage biopharmaceutical company with a limited operating history on which to base your investment decision. Our operations to date have been primarily focused on developing and commercializing IMCIVREE (setmelanotide) to treat patients living with hyperphagia and severe obesity caused by rare MC4R pathway diseases. We are currently in the early stages of commercializing IMCIVREE in its approved indications in the United States, Canada, and EU and the United Kingdom and advancing setmelanotide through clinical development for additional indications in the United States for potential additional approvals in other countries. Biopharmaceutical product development is a highly speculative undertaking and involves a substantial degree of risk.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first commercialized IMCIVREE in the United States in the first quarter of 2021 and therefore do not have a long history operating as a commercial company. We are continuing to transition from a company with a research and development focus to a company capable of supporting commercial activities worldwide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2023, in order to expand our pipeline and build on our focus on rare endocrinology diseases, we acquired Xinvento B.V., a Netherlands-based biotech company focused on developing therapies for congenital hyperinsulinism (CHI). Our CHI program remains in the discovery phase and we do not expect to derive revenue from our CHI program for many years, if at all. Regulatory approvals may not be received when anticipated or not at all and ultimately we may fail to realize the anticipated benefits of our CHI program or those benefits may take longer to realize than expected.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substantially all our efforts and financial resources on the research and development of setmelanotide, which is approved by the FDA and Health Canada and authorized by the EC and the 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net losses were $55.6 million and $49.5 million for the three months ended March 31, 2026 and 2025, respectively. As of March 31, 2026, we had an accumulated deficit of $1,407.5 million. Substantially all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(now in Phase 1 trials), and bivamelagon, an investigational oral small molecule, which is also designed to be a more selective MC4R agonist, (recently completed a Phase 2 clinical trial), and with the development of any other product candidates we may choose to pursue, including a product candidate for CHI, yet to be identified. We also expect to devote substantial financial resources to the research and development and potential commercialization of a product candidate for CHI.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since we have achieved market access or named patient sales of IMCIVREE for BBS or POMC and LEPR deficiencies, or both, in more than 25 countries outside of the United States,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become profitable depends upon our ability to generate revenue. Our ability to generate revenue depends on a number of factors, including, but not limited to, our ability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continue to commercialize setmelanotide by building a commercial organization and/or entering into collaborations with third parties;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ensure IMCIVREE is available to patients;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continue to achieve market acceptance of setmelanotide in the medical community and with third-party payors;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continue to initiate and successfully complete later-stage clinical trials for setmelanotide, RM-718, bivamelagon, or other product candidates that meet their clinical endpoints;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continue to initiate and successfully complete all studies required to obtain U.S. and foreign marketing approvals for setmelanotide as a treatment to address patients with deficiencies affecting the MC4R pathway;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successfully manufacture or contract with others to manufacture setmelanotide, or RM-718 and bivamelagon if approved.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we may need to raise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in the early stages of commercializing IMCIVREE in its approved indications in the United States, Canada, the EU and the United Kingdom and advancing setmelanotide through clinical development for additional indications in the United States and for potential additional approvals in other countries. Developing pharmaceutical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bivamelagon, and in connection with our CHI program and the potential identification and development of a product candidate for CHI.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needs thereafter, as well as research and development activities for setmelanotide, RM-718, bivamelagon, and a product candidate for our CHI program. We may also need to raise additional funds if we choose to pursue additional indications and/or geographies for setmelanotide or otherwise expand more rapidly than we presently anticipate.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raised funds through the issuance of common and preferred equity, the sale of assets and a Revenue Interest Agreement, or RIFA. As of March 31, 2026, our cash and cash equivalents and short-term investments were approximately $340.6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bivamelagon, and a product candidate for our CHI program. Raising funds in the current economic and geopolitical environment may present additional challenges. Even if we believe we have sufficient funds for our current or future operating plans, we may seek additional capital if market conditions are favorable or if we have specific strategic considerations.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we may not be able to access uninsured funds in a timely manner or at all. Any inability to access or delay in accessing these funds could adversely affect our business and financial position.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additional fundraising efforts may divert our management from their day-to-day activities, which may adversely affect our ability to commercialize IMCIVREE and develop setmelanotide, RM-718, bivamelagon, and a product candidate for our CHI program.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 relinquish rights to setmelanotide or technologies or otherwise agree to terms unfavorable to us, any of which may have a material adverse effect on our business, operating results and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16, 2022, we entered into the RIFA, with entities managed by HealthCare Royalty Management, collectively referred to as the RIFA Investors. Pursuant to the RIFA and subject to customary closing conditions, the RIFA Investors agreed to pay us an aggregate investment amount of up to $100.0 million (the “RIFA Investment Amount”). Under the terms of the RIFA, we received $37.5 million on June 29, 2022 upon FDA approval of IMCIVREE in BBS, and an additional $37.5 million on September 29, 2022, following EC marketing authorization for BBS on September 6, 2022. On September 12, 2023, we received the remaining $24.4 million of the RIFA Investment Amount, net of debt issuance costs, following the achievement of a specified amount of cumulative net sales of IMCIVREE between July 1, 2022 and September 30,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Investment Amount and pursuant to the RIFA, we agreed to pay the RIFA Investors a tiered royalty on our annual net revenues (the “Revenue Interest”), including worldwide net product sales and upfront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payments and milestones. The applicable tiered percentage will initially be 11.5% on annual net revenues up to $125 million, 7.5% on annual net revenues of between $125 million and $300 million and 2.5% on annual net revenues exceeding $300 million. If the RIFA Investors have not received cumulative minimum payments equal to 60% of the amount funded by the Investors to date by March 31, 2027 or 120% of the amount funded by the RIFA Investors to date by March 31, 2029, we must make a cash payment immediately following each applicable date to the Investors sufficient to gross the Investors up to such minimum amounts after giving full consideration of the cumulative amounts paid by us to the RIFA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March 31, 2026 we have made $44.6 million of payments.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RIFA Investors’ rights to receive the Revenue Interests will terminate on the date on which the RIFA Investors have received payments equal to a certain percentage of the funded portion of the Investment Amount including the aggregate of all payments made to the RIFA Investors as of such date, each percentage tier referred to as the Hard Cap, unless the RIFA is earlier terminated. The total Revenue Interests payable by us to the RIFA Investors is capped between 185% and 250% of the RIFA Investment Amount paid to us, dependent on the aggregate royalty paid between 2028 and 2032. If a change of control event occurs, the RIFA Investors may accelerate payments due under the RIFA, up to the Hard Cap plus any other obligations payable under the RIFA.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obligations under the RIFA could have significant negative consequences for our security holders and our business, results of operations and financial condition by, among other things: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limiting our ability to obtain additional financing or enter into IMCIVREE collaboration or other business agreements;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requiring the dedication of a portion of our cash flow from operations to service our indebtedness, which will reduce the amount of cash available for other purposes;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limiting our flexibility to plan for, or react to, changes in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placing us at a possible competitive disadvantage with competitors that are less leveraged than us or have better access to capital;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incur additional debt (including without limitation additional amounts under the RIFA), the risks described above could increase.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the Development of Setmelanotide, Bivamelagon, RM-718 and our CHI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in all patient populations studied and there can be no guarantee that future trials will achieve their endpoints.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BBS and hypothalamic obesity, and believe we have demonstrated proof of concept in Phase 2 clinical trials in impairments due to a variant in one of the two alleles in the POMC, PCSK1, or LEPR genes (HET obesity), as well as the SRC1 and SH2B1 genes, all genetic diseases of extreme and unrelenting appetite and obesity. We hypothesize that patients with other upstream genetic variants in genes upstream of the MC4R in the MC4R pathway may also respond with reductions in weight and hunger after treatment with setmelanotide. However, patients with other upstream genetic variants may not have a similar response to setmelanotide, and until we obtain more clinical data in other genetic variants, we will not be sure that we can achieve proof of concept or magnitude of response sufficient to demonstrate statistical significance in such populations.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actively working to advance additional genetic variants related to patient populations carrying such genetic variants in other MC4R pathway related genes in the MC4R pathway through our clinical development programs. Our continued development efforts are focused on obesity related to several single gene, or monogenic, MC4R pathway impairments: BBS; obesity due to a genetic variant in one of the two alleles of the POMC, PCSK1 or LEPR gene, or HETs; obesity due to steroid receptor coactivator 1, or SRC1, variants; obesity due to SH2B adapter protein 1, or SH2B1; hypothalamic obesity; Prader-Willi syndrome (PWS) and MC4R deficiency obesity. For example, our pivotal Phase 3 EMANATE trial is a randomized, double-blind, placebo-controlled study with four independent sub-studies evaluating setmelanotide in patients with: heterozygous POMC/PCSK1 obesity; heterozygous LEPR obesity; certain variants of the SRC1; or certain variants of SH2B1 genes. Each of the four sub-studies is entirely independent of the others and, if successful, is designed to support separate regulatory submissions to the FDA and EMA in each studied population. However, the FDA and EMA may not view positive results in one sub-study, even if such results are statistically significant and clinically meaningful, as being sufficient for approval for any given indication.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setbacks may be caused by new safety or efficacy observations in clinical trials or in post-approval use in the real world, including previously unreported adverse events, or AEs. Moreover, preclinical and clinical data are often susceptible to varying interpretations and analyses, and many companies that believed their product candidates performed satisfactorily in preclinical studies and clinical trials nonetheless failed to obtain FDA approval or a marketing authorization from the EC or foreign regulatory authorities. If we fail to obtain positive results in our Phase 3 clinical trials of setmelanotide, the development timeline and regulatory approval and commercialization prospects for setmelanotide and, correspondingly, our business and financial prospects, would be materially adversely affected, but even if we obtain results in our Phase 3 clinical trials that we believe are positive, there is no guarantee that the FDA or the EC or foreign regulatory authorities will agree that such results are sufficient to support submission or approval of an NDA or NDA supplement.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Interim, “topline” and preliminary data from our preclinical and clinical trials that we announce or publish from time to time may change as more data become available and are subject to audit and verification procedures that could result in material changes in the final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also disclose real-world data from early access programs in particular patient cohorts, which are not controlled trials and may not be predictive of future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a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exclusive license agreement with LGC is important to our business. If we or LGC fail to adequately perform under the agreement, the development of bivamelagon could be delayed, or if we or LGC terminate the agreement, we would lose our rights to develop and commercialize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2024, we entered into a license agreement and share issuance agreement with LG Chem, Ltd. ("LGC"). Pursuant to the terms of the license agreement, we obtained exclusive worldwide rights to develop LGC’s proprietary compound bivamelagon. We agreed to pay LGC royalties of between low- to mid-single digit percent of net revenues from our MC4R portfolio, including bivamelagon, commencing in 2029 and dependent upon achievement of various regulatory and indication approvals, and subject to customary deductions and anti-stacking. Royalties may further increase to a low double-digit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 lose our rights to develop and commercialize bivamelagon, and, under some circumstances, we could be subject to certain ongoing payments, penalties and fees, all of which in turn would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number of patients with each of the MC4R pathway variants we are targeting is small and has not been established with precision. If the actual number of patients is smaller than we estimate, our revenue and ability to achieve profitability may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December 31, 2025, our database had approximately 120,000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multiple epidemiological methods, we have estimated the potential addressable patient populations with these MC4R pathway deficiencies based on the following sources and assumptions (which remain subject to change based on ongoing research and publications by us or any third party):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POMC Deficiency Obesity.</w:t>
      </w:r>
      <w:r>
        <w:rPr>
          <w:color w:val="000000"/>
        </w:rPr>
        <w:t xml:space="preserve"> </w:t>
      </w:r>
      <w:r>
        <w:rPr>
          <w:rFonts w:ascii="Times New Roman;serif" w:hAnsi="Times New Roman;serif"/>
          <w:b w:val="false"/>
          <w:color w:val="000000"/>
          <w:sz w:val="20"/>
        </w:rPr>
        <w:t xml:space="preserve">POMC Deficiency Obesity is defined by the presence of biallelic variants in the </w:t>
      </w:r>
      <w:r>
        <w:rPr>
          <w:rFonts w:ascii="Times New Roman;serif" w:hAnsi="Times New Roman;serif"/>
          <w:b w:val="false"/>
          <w:i/>
          <w:color w:val="000000"/>
          <w:sz w:val="20"/>
        </w:rPr>
        <w:t>POMC</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PCSK1</w:t>
      </w:r>
      <w:r>
        <w:rPr>
          <w:color w:val="000000"/>
        </w:rPr>
        <w:t xml:space="preserve"> </w:t>
      </w:r>
      <w:r>
        <w:rPr>
          <w:rFonts w:ascii="Times New Roman;serif" w:hAnsi="Times New Roman;serif"/>
          <w:b w:val="false"/>
          <w:color w:val="000000"/>
          <w:sz w:val="20"/>
        </w:rPr>
        <w:t xml:space="preserve">genes that are interpreted as pathogenic, likely pathogenic, or of uncertain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significance. Our addressable patient population estimate for POMC deficiency obesity is approximately 100 to 500 patients in the United States, with a comparable addressable patient population in Europe. Our estimates are based on:</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belief, based on discussions with experts in rare diseases, that the number of diagnosed cases could increase several-fold with increased awareness of this deficiency and the availability of new treatments;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Census Bureau figures for adults and children, and Centers for Disease Control and Prevention, or CDC, prevalence numbers for adults with severe obesity (body mass index, or BMI, greater than 40 kg/m2) and for children with severe early-onset obesity (99th percentile at ages two to 17 years old);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for POMC deficiency obesity patients (including both POMC and PCSK1 gene diseases), defined as patients having biallelic variants in the POMC or PCSK1 genes that are interpreted as pathogenic, likely pathogenic, or of uncertain significance, of approximately 0.05%.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LEPR Deficiency Obesity</w:t>
      </w:r>
      <w:r>
        <w:rPr>
          <w:rFonts w:ascii="Times New Roman;serif" w:hAnsi="Times New Roman;serif"/>
          <w:b w:val="false"/>
          <w:color w:val="000000"/>
          <w:sz w:val="20"/>
        </w:rPr>
        <w:t xml:space="preserve">. LEPR Deficiency Obesity is defined by the presence of biallelic variants in the </w:t>
      </w:r>
      <w:r>
        <w:rPr>
          <w:rFonts w:ascii="Times New Roman;serif" w:hAnsi="Times New Roman;serif"/>
          <w:b w:val="false"/>
          <w:i/>
          <w:color w:val="000000"/>
          <w:sz w:val="20"/>
        </w:rPr>
        <w:t>LEPR</w:t>
      </w:r>
      <w:r>
        <w:rPr>
          <w:color w:val="000000"/>
        </w:rPr>
        <w:t xml:space="preserve"> </w:t>
      </w:r>
      <w:r>
        <w:rPr>
          <w:rFonts w:ascii="Times New Roman;serif" w:hAnsi="Times New Roman;serif"/>
          <w:b w:val="false"/>
          <w:color w:val="000000"/>
          <w:sz w:val="20"/>
        </w:rPr>
        <w:t>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epidemiology studies on LEPR deficiency obesity in small cohorts of patients comprising children with severe obesity and adults with severe obesity who have a history of early onset obesity;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Census Bureau figures for adults and children and CDC prevalence numbers for adults with severe obesity (BMI, greater than 40 kg/m2) and for children with severe early-onset obesity (99th percentile at ages two to 17 years old);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with wider availability of genetic testing expected for LEPR deficiency obesity and increased awareness of new treatments, our belief that up to 40% of patients with these diseases may eventually be diagnosed;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for LEPR deficiency obesity patients, defined as patients having biallelic variants in the LEPR gene that are interpreted as pathogenic, likely pathogenic, or of uncertain significance, of approximately 0.09%.</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Bardet-Biedl Syndrome</w:t>
      </w:r>
      <w:r>
        <w:rPr>
          <w:rFonts w:ascii="Times New Roman;serif" w:hAnsi="Times New Roman;serif"/>
          <w:b w:val="false"/>
          <w:color w:val="000000"/>
          <w:sz w:val="20"/>
        </w:rPr>
        <w:t>. Our addressable patient population estimate for BBS is approximately 4,000 to 5,000 patients in the United States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published prevalence estimates of one in 100,000 in North America, which projects to approximately 3,250 people in the United States. We believe the majority of these patients are addressable patients;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comparisons to our patient identification efforts in Europe where we believe there are approximately 1,500 patients diagnosed and being cared for at academic centers in Europe;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patient identification efforts to date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for biallelic pathogenic or likely pathogenic variants in BBS genes of approximately 0.3%;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belief that with wider availability of genetic testing expected for BBS and increased awareness of new treatments, the number of patients diagnosed with this disorder will increase.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POMC, PCSK1, or LEPR Heterozygous Obesities; SRC1 and SH2B1 Obesities</w:t>
      </w:r>
      <w:r>
        <w:rPr>
          <w:rFonts w:ascii="Times New Roman;serif" w:hAnsi="Times New Roman;serif"/>
          <w:b w:val="false"/>
          <w:color w:val="000000"/>
          <w:sz w:val="20"/>
        </w:rPr>
        <w:t>. Our potential 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Census Bureau population data and CDC prevalence numbers for early onset obesity (≥120% the 95th percentile with onset prior to 6 years of age);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of patients with POMC, PCSK1, or LEPR heterozygous, SRC1 or SH2B1 variants interpreted as pathogenic, likely pathogenic, or of uncertain significance of approximately 10-15%;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clinical response rate of 40% for patients carrying pathogenic or likely pathogenic variants, and 20% for patients carrying a variant of uncertain significance.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clinical response rate used in this calculation is based on the clinical data currently available to us from our trials and may change as more data become available.</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MC4R Deficiency Obesity</w:t>
      </w:r>
      <w:r>
        <w:rPr>
          <w:rFonts w:ascii="Times New Roman;serif" w:hAnsi="Times New Roman;serif"/>
          <w:b w:val="false"/>
          <w:color w:val="000000"/>
          <w:sz w:val="20"/>
        </w:rPr>
        <w:t>. Our addressable patient population estimate for MC4R-rescuable deficiency obesity is approximately 10,000 patients in the United States. This estimate is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Census Bureau population data and CDC prevalence numbers for early onset obesity (≥120% the 95th percentile between the ages of 2-5 years);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comprehensive biochemical screening study indicating there may be a defined subset of individuals who carry MC4R variants that may be rescued by an MC4R agonist;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for MC4R deficiency obesity patients of approximately 2.0% prior to application of functional filters.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Obesity due to a deficiency in the MC4R pathway caused by variants in the SEMA3 family, PHIP, TBX3 or PLXNA family</w:t>
      </w:r>
      <w:r>
        <w:rPr>
          <w:rFonts w:ascii="Times New Roman;serif" w:hAnsi="Times New Roman;serif"/>
          <w:b w:val="false"/>
          <w:color w:val="000000"/>
          <w:sz w:val="20"/>
        </w:rPr>
        <w:t>. Our addressable patient population estimate for obesity patient with variants in these genes is approximately 63,500 patients in the United States. This estimate is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United States with early-onset obesity.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Hypothalamic obesity</w:t>
      </w:r>
      <w:r>
        <w:rPr>
          <w:rFonts w:ascii="Times New Roman;serif" w:hAnsi="Times New Roman;serif"/>
          <w:b w:val="false"/>
          <w:color w:val="000000"/>
          <w:sz w:val="20"/>
        </w:rPr>
        <w:t xml:space="preserve">. Our addressable patient population estimate for hypothalamic obesity (HO) is approximately 10,000 patients in the United States. We estimate there are 5,000 to 8,000 people living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hypothalamic obesity in Japan, and approximately 10,000 people living with hypothalamic obesity in the E.U. These estimates are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diagnosis of an underlying HO etiology such as craniopharyngioma (CP), astrocytoma, or other brain tumors with CP accounting for approximately 50% of HO etiologies;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annual incidence of CP of approximately 1.3 to 2.2 per million per year in the United States, which projects to approximately 600 cases of CP per year based on a United States population of approximately 329 million;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approximately 50% (based on a published range of 6% to 91%) of CP patients develop HO;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published estimates of overall survival (OS) after CP diagnosis, with a 20-year OS of 84%;</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allowing for patients that develop HO due to other factors besides CP, results in an estimated HO prevalence after CP diagnosis in the United States exceeding 2,500-7,500 patients;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internal Company estimate is based on reported incidence of hypothalamic obesity following CP and long-term survival rates.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Given the etiology of the disease, our estimates on HO are based on our internal review and interpretation of the literature and available prevalence data.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experience delays or difficulties in the enrollment and/or retention of patients in clinical trials, our regulatory submissions or receipt of additional marketing approvals could be delayed or prevented.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clinical trials will compete with other clinical trials that are in the same therapeutic areas as our product candidates, including general obesity,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size and nature of the patient population;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severity of the disease under investigation;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availability and efficacy of approved drugs for the disease under investigation;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patient eligibility criteria for the trial in question as defined in the protocol;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perceived risks and benefits of the product candidate under study;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clinicians’ willingness to screen their patients for genetic markers to indicate which patients may be eligible for enrollment in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or temporary suspension of the enrollment of patients in our planned clinical trial due to public health emergencies;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ability to obtain and maintain patient consents;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patient referral practices of physicians;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to monitor patients adequately during and after treatment;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proximity and availability of clinical trial sites for prospective patients;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pediatric population is an important patient population for setmelanotide, RM-718, and bivamelagon,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Failures or delays in the commencement or completion of our planned clinical trials could result in increased costs to us and could delay, prevent or limit our ability to generate revenue, achieve profitability and continue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Successful completion of our ongoing and planned clinical trials is a prerequisite to submitting an NDA or NDA supplement to the FDA, a marketing authorization application (“MAA”) to the EMA, and other applications for marketing authorization to equivalent competent authorities in foreign jurisdictions, and consequently, successful completion of such trials, at a minimum, will be required for regulatory approvals and the commercial marketing of setmelanotide for additional indications as well as RM-718 and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inability to generate sufficient preclinical or other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data to support the initiation of clinical studies;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the completion of preclinical laboratory tests, animal studies and formulation studies in accordance with FDA’s good laboratory practice requirements and other applicable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or other equivalent competent authorities in foreign jurisdictions may deny permission to proceed with our ongoing or planned trials or any other clinical trials we may initiate, or may place a clinical trial on hold or such trial may be suspended;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filing or receiving authorization to proceed under an additional investigational new drug application, or IND, or similar foreign application if required;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reaching a consensus with the FDA and other regulatory agencies on study design and obtaining regulatory authorization to commence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reaching or failing to reach agreement on acceptable terms with prospective CROs and clinical trial sites, the terms of which can be subject to extensive negotiation and may vary significantly among different CROs and trial sites;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difficulties in obtaining or maintaining Institutional Review Board, or IRB, and/or ethics committee approval or opinion to conduct a clinical trial at a prospective site or sites;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inadequate quantity or quality of setmelanotide, RM-718, bivamelagon or other materials necessary to conduct clinical trials, including delays in the manufacturing of sufficient supply of finished drug product;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challenges in identifying, recruiting and training suitable clinical investigators;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challenges in recruiting and enrolling suitable patients to participate in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severe or unexpected drug related side effects experienced by patients in a clinical trial, including side effects previously identified in our completed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difficulty collaborating with patient groups and investigators;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by our CROs, other third parties or us to perform in accordance with the FDA’s or any other regulatory authority’s GCPs or applicable regulatory guidelines in other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occurrence of adverse events associated with setmelanotide, RM-718 or bivamelagon that are viewed to outweigh their potential benefits, or occurrence of adverse events in trial of the same or similar class of agents conducted by other companies;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to the clinical trial protocols;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clinical sites deviating from trial protocol or dropping out of a trial;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regulatory requirements and guidance that require amending or submitting new clinical protocols;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standard of care on which a clinical development plan was based, which may require new or additional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selection of clinical endpoints that require prolonged periods of observation or analyses of resulting data;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 of clinical trials of our product candidates being greater than we anticipate;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clinical trials or related non-clinical trials of our product candidates producing negative or inconclusive results, which may result in our deciding, or regulators requiring us, to conduct additional clinical trials or delay or abandon development of such product candidates;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development of antibodies to the drug or adjuvants may result in loss of efficacy or safety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to conduct the clinical trial in accordance with regulatory requirements or our clinical trial protocols;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inspection of the clinical trial operations or trial sites by the FDA or other equivalent competent authorities that reveals deficiencies or violations that require us to undertake corrective action, including the imposition of a clinical hold;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inconclusive results, unforeseen safety issues, adverse side effects or lack of effectiveness;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government regulations or administrative actions;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problems with clinical trial supply materials;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Delays in the completion of any preclinical or non-clinical studies or clinical trials of setmelanotide, RM-718 or bivamelagon will increase our costs, slow down our product candidate development and the regulatory approval processes and delay or potentially jeopardize our ability to commence product sales, generate product revenue and achieve profitability. In addition, many of the factors that cause, or lead to, a delay in the commencement or completion of clinical trials may also ultimately lead to the denial of a regulatory approval for setmelanotide, RM-718 or bivamelagon. Any delays to our preclinical studies or clinical trials that occur as a result could shorten any period during which we may have the exclusive right to commercialize setmelanotide, RM-718 or bivamelagon,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FDA’s and other regulatory authorities’ policies with respect to clinical trials may change and additional government regulations may be enacted. For instance,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 plans.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on April 28, 2025, the UK adopted an amendment to the UK clinical trials regulations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(EU) CTR. The amendment will become applicable on April 28, 2026 following a one-year transition period. </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slow or unable to adapt to changes in existing requirements or the adoption of new requirements or policies governing clinical trials, our development plans may be impacted.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Research and development in the pharmaceutical industry is costly, risky, time-intensive and complicated. In particular, our CHI program is a pre-clinical discovery-stage program and we may not succeed in identifying a CHI program candidate to translate to development and even if we do we may not succeed in developing a CHI program product candidate.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in the pharmaceutical industry is an expensive, high-risk, lengthy, complicated, resource intensive process. In order to develop a product successfully, we must, among other things: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conduct scientific discovery in areas that are uncertain, unproven and complex;</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identify potential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submit for and receive regulatory approvals or allowances to perform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design and conduct appropriate preclinical studies and clinical trials according to good laboratory practices and good clinical practices and disease-specific expectations of the FDA and other regulatory bodies;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Select and recruit suitable clinical investigators and subjects for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Obtain and correctly interpret data establishing adequate safety of our product candidates and demonstrating that our product candidates are effective for their proposed indications;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Submit for and receive regulatory approvals;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Manufacture the product candidates according to current Good Manufacturing Practices, or cGMPs, and other applicable standards and regulations.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a high rate of failure inherent in this process, and potential products that appear promising at early stages of the research and development process may fail for a number of reasons. Importantly, positive results from preclinical studies of a product candidate may not be predictive of similar results in human clinical trials, promising results from earlier clinical trials of a product candidate may not be replicated in later clinical trials, and observations from ongoing trials, including observations based on interim, preliminary, or blinded data, may not be representative of results after the trials are completed and all data are collected and analyzed. Many companies in the pharmaceutical and biotechnology industries have suffered significant setbacks in late-stage clinical trials even after achieving positive results in earlier stages of development and have abandoned development efforts or sought partnerships in order to continue development.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there are many other difficulties and uncertainties inherent in pharmaceutical research and development that could significantly delay or otherwise materially impair our ability to develop future product candidates, including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Conditions imposed by regulators, ethics committees or institutional review boards for preclinical testing and clinical trials relating to the scope or design of our clinical trials, including selection of endpoints and number of required patients or clinical sites;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Challenges in designing clinical trials that may support any potential claims of superiority over current standard of care or future competitive therapies;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Restrictions placed upon, or other difficulties with respect to, clinical trials and clinical trial sites, including with respect to potential clinical holds or suspension or termination of clinical trials due to, among other things, potential safety or ethical concerns or noncompliance with regulatory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Delayed or reduced enrollment in clinical trials, high discontinuation rates or overly concentrated patient enrollment in specific geographic regions;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by third-party contractors, contract research organizations, or CROs, clinical investigators, clinical laboratories, or suppliers to comply with regulatory requirements or meet their contractual obligations in a timely manner;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Greater than anticipated cost of our clinical trials;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Insufficient product supply or inadequate product quality.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Evolving competitive landscape for our products and product candidates, which could cause us to modify our development programs, notwithstanding positive data or trial results in existing trials, in order to seek alternate indications or routes of administration or to substitute or otherwise modify our product candidates in light of the evolving competitive landscape and changing commercial prospects for our product and product candidates.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cannot state with certainty when or whether our CHI program will ever identify a product candidate to translate from research to the development stage or whether our other product candidates now under development will be approved or launched; whether, if initially granted, such approval will be maintained; whether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 able to develop, license, or otherwise acquire additional products or product candidates; or whether our products, once launched, will be commercially successful.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Failure to successfully develop setmelanotide for additional indications or to develop product candidates for any of the foregoing reasons may materially adversely affect our business, financial condition, results of operations and prospects and the value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Setmelanotide, RM-718 or bivamelagon may cause undesirable side effects that could delay or prevent additional regulatory approvals, limit the commercial profile of approved labeling, or result in significant negative consequences following marketing approval.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First generation MC4R agonists were predominantly small molecules that failed in clinical trials due to significant safety issues, particularly increases in blood pressure, and had limited efficacy. Undesirable side effects caused by setmelanotide, RM-718 or bivamelagon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Setmelanotide, RM-718 and bivamelagon are MC4R agonists. Potential side effects of MC4R agonism, which have been noted either with setmelanotide or with other MC4R agonists in clinical trials and preclinical studies, may include:</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adverse effects on cardiovascular parameters, such as increases in heart rate and blood pressure;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erections in males and similar effects in women, such as sexual arousal, clitoral swelling and hypersensitivity;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nausea and vomiting;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reduced appetite;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headache;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effects on mood, depression, anxiety and other psychiatric manifestations;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 effects, for which an investigator reported as unrelated to setmelanotide or for which no increased incidence or pattern or causal relationship is currently evident.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injection site reactions have been seen in subcutaneous, or SC, injections with setmelanotide. Also, setmelanotide has likely off target effects on the closely related MC1 receptor, which mediates skin pigmentation in response to sun exposure. Other MC1 receptor mediated effects include darkening of skin blemishes, such as freckles and moles, and hair color change. These MC1 receptor mediated skin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 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bivamelagon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if we or others identify undesirable side effects associated with or caused by the products, or any other similar product, before or after regulatory approvals, a number of potentially significant negative consequences could result,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authorities may request that we withdraw the product from the market or may limit or vary their approval of the product through labeling or other means;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authorities may require the addition of labeling statements, such as a “boxed” warning or a contraindication;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be required to change the way the product is distributed or administered or change the labeling of the product;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be required to conduct additional studies and clinical trials or comply with other post-market requirements to assess possible serious risks;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be required to conduct long term safety follow-up evaluations, including setting up disease and drug based registries;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decide to remove the product from the marketplace;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other MC4 agonist products or product candidates may be perceived by regulators or other third parties as unsafe, which could adversely affect our development efforts and product portfolio;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could be sued and held liable for injury caused to individuals exposed to or taking the product;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setmelanotide, RM-718 or bivamelagon, and could substantially increase the costs of commercializing setmelanotide, RM-718 or bivamelagon and significantly impact our ability to successfully commercialize setmelanotide, RM-718 or bivamelagon and generate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obtain or maintain orphan drug designations for setmelanotide, RM-718 or bivamelagon or to obtain or maintain orphan exclusivity. Even with exclusivity, competitors may obtain approval for different drugs that treat the same indications as setmelanotide, RM-718 and bivamelagon.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drug with the same approved use or indication within such disease or condition for that marketing exclusivity period, except in limited circumstances.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sufficient quantity of the product to meet the needs of patients with the rare disease or condition. Other potential benefits of orphan drug designation and/or approval of a designated drug include eligibility for: exemption from certain prescription drug user fees, tax credits for certain qualified clinical testing expenses, and waivers from the pediatric assessment requirements of the Pediatric Research Equity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Grant of orphan designation by the EC also entitles the holder of this designation to financial incentives such as reduction of fees or fee waivers, protocol assistance, and access to the centralized marketing authorization procedure. In 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serif" w:hAnsi="Times New Roman;serif"/>
          <w:b w:val="false"/>
          <w:i/>
          <w:color w:val="000000"/>
          <w:sz w:val="20"/>
        </w:rPr>
        <w:t>POMC, PCSK1,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LEPR</w:t>
      </w:r>
      <w:r>
        <w:rPr>
          <w:color w:val="000000"/>
        </w:rPr>
        <w:t xml:space="preserve"> </w:t>
      </w:r>
      <w:r>
        <w:rPr>
          <w:rFonts w:ascii="Times New Roman;serif" w:hAnsi="Times New Roman;serif"/>
          <w:b w:val="false"/>
          <w:color w:val="000000"/>
          <w:sz w:val="20"/>
        </w:rPr>
        <w:t>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LEPR deficiency in adults and children 6 years of age and above. Following the FDA’s approval in December 2024 of the expanded indication for IMCIVREE to include patients as young as 2 years of age, in March 2025, the FDA expanded the scope of the current orphan drug exclusivity for IMCIVREE to provide for seven years of orphan-drug exclusivity for setmelanotide to reduce excess body weight and maintain weight reduction long term in pediatric patients aged 2 years to less than 6 years with syndromic or monogenic obesity due to POMC, PCSK1, LEPR deficiency as determined by an FDA-approved test demonstrating variants in POMC, PCSK1, or LEPR genes that are interpreted as pathogenic, likely pathogenic, or VUS.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been granted orphan designation for setmelanotide for the treatment of: (i) Alström syndrome in both the United States and the EU; (ii) Prader-Willi syndrome in the United States and the EU; and (iii) acquired hypothalamic obesity in the EU and Japan.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maintain the benefits of orphan drug exclusivity, or that the FDA or the EC or Japan’s Ministry of Health, Labour and Welfare will grant orphan designations for setmelanotide for other uses. In addition, orphan drug designation neither shortens the development time or regulatory review time of a drug nor gives the drug any advantage in the regulatory review or approval process.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though we have obtained orphan drug exclusivity for certain uses of setmelanotide, such exclusivities may not effectively protect setmelanotide from competition because different drugs can be approved for the same indications and uses. In the United States, even after an orphan drug is approved, the FDA may subsequently approve another drug for the same indication or use within the relevant rare disease or condition if the FDA concludes that the latter drug is not the same drug or is clinically superior with respect to the relevant indication or use in that it is shown to be safer, more effective or makes a major contribution to patient care. As discussed above, similar rules apply in the EU.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Although we have obtained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and PRIME designation in the EU for setmelanotide for the treatment of obesity and the control of hunger associated with deficiency disorders of the MC4R pathway, the FDA may rescind the Breakthrough Therapy designation and the EMA may withdraw the PRIME designation and we may be unable to obtain Breakthrough Therapy designation or the PRIME designation for other uses. In addition, Breakthrough Therapy designation by the FDA or PRIME designation by the EMA may not lead to a faster development, regulatory review or approval process, and neither do they increase the likelihood that setmelanotide will receive additional marketing approvals in the United States or additional marketing authorizations in the EU.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Designation as Breakthrough Therapy is within the discretion of the FDA. Accordingly, even if we believe our product candidates meet the criteria for designation as Breakthrough Therapy, the FDA may disagree. In any event, the 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setmelanotide targets an unmet medical need, the EMA offers enhanced support in the development of the medicinal 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translate the once-daily, subcutaneous injection formulations of setmelanotide into alternate formulations, including alternate methods of delivery for setmelanotide or alternative methods of delivery for or other product candidates that would be acceptable to the FDA or other equivalent competent authorities in foreign jurisdictions or commercially successful.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Setmelanotide is currently administered by once-daily subcutaneous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believe that this once-weekly formulation may be more convenient and less burdensome than setmelanotide, which is currently approved as a once-daily administration, we have paused development of this once-weekly formulation in favor of advancing RM-718. In the event RM-718 shows sufficiently positive efficacy and safety results, we plan to discontinue development of the weekly formulation of setmelanotide. Concurrently, we are engaging with applicable regulatory authorities to address the impact of our discontinuing development of the weekly formulation of setmelanotide, which was a component of our pediatric investigation plan, or PIP, in the EU (and the United Kingdom). In Q1 2025, we submitted a request to modify the PIP to remove elements related to the weekly formulation with agreement received in Q2 2025. We cannot estimate the probability of success with respect to our development of additional formulations, nor the resources and time needed to succeed. If we are unable to develop and gain approval of new formulations of setmelanotide or of our other product candidates, our products may not achieve significant market acceptance and our business, financial condition and results of operations may be materially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would require substantial financial resources, and could delay or prevent the receipt of additional regulatory approvals for setmelanotide, or adversely affect those approvals we have already obtained.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have focused our development of setmelanotide as a treatment for obesity caused by certain genetic deficiencies affecting the MC4R pathway. To date, we have employed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diagnostic that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otherwise commercially available, then the FDA may require approval or clearance of that diagnostic, known as a companion diagnostic, at the same time as, or in connection with, the FDA approval of such product candidates.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 regulation of companion diagnostics is now subject to further requirements set forth in the IVDR. Following subsequent legislative changes, European institutions adopted a “progressive” roll-out of the IVDR to prevent disruption in the supply of in vitro diagnostic medical devices. The IVDR became applicable on May 26, 2022 but there is a tiered system extending the grace period for many devices (depending on their risk classification) before they have to be fully compliant with the regulation. For instance, under these provisions, class C devices (including devices that are intended to be used as companion diagnostics) had until May 26, 2026 to comply with the new requirements. In June 2024, to address issues related to notified body capacity, the EC adopted an extension of the grace period, resulting in an extended transition period until December 31, 2028 for certain class C devices, subject to compliance with the transitional provisions.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authority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If the FDA or a comparable regulatory authority requires clearance, approval or certification of a companion diagnostic for setmelanotide, RM-718 or bivamelagon, any delay or failure by us or our current and future collaborators to develop or obtain regulatory clearance or approval of, or certification of, such tests, if necessary, could delay or prevent us from obtaining additional approvals for setmelanotide, or adversely affect the approvals we have already obtained. For example, IMCIVREE is currently approved by the FDA for use in adults and pediatric patients two years of age and older with syndromic or monogenic obesity due to BBS and due to POMC, PCSK1, or LEPR deficiencies as confirmed by genetic testing demonstrating variants in </w:t>
      </w:r>
      <w:r>
        <w:rPr>
          <w:rFonts w:ascii="Times New Roman;serif" w:hAnsi="Times New Roman;serif"/>
          <w:b w:val="false"/>
          <w:i/>
          <w:color w:val="000000"/>
          <w:sz w:val="20"/>
        </w:rPr>
        <w:t>POMC, PCSK1</w:t>
      </w:r>
      <w:r>
        <w:rPr>
          <w:rFonts w:ascii="Times New Roman;serif" w:hAnsi="Times New Roman;serif"/>
          <w:b w:val="false"/>
          <w:color w:val="000000"/>
          <w:sz w:val="20"/>
        </w:rPr>
        <w:t xml:space="preserve">, or </w:t>
      </w:r>
      <w:r>
        <w:rPr>
          <w:rFonts w:ascii="Times New Roman;serif" w:hAnsi="Times New Roman;serif"/>
          <w:b w:val="false"/>
          <w:i/>
          <w:color w:val="000000"/>
          <w:sz w:val="20"/>
        </w:rPr>
        <w:t>LEPR</w:t>
      </w:r>
      <w:r>
        <w:rPr>
          <w:color w:val="000000"/>
        </w:rPr>
        <w:t xml:space="preserve"> </w:t>
      </w:r>
      <w:r>
        <w:rPr>
          <w:rFonts w:ascii="Times New Roman;serif" w:hAnsi="Times New Roman;serif"/>
          <w:b w:val="false"/>
          <w:color w:val="000000"/>
          <w:sz w:val="20"/>
        </w:rPr>
        <w:t>genes that are interpreted as pathogenic, likely pathogenic, or of uncertain significance; IMCIVREE is also approved by the FDA for use in adults and pediatric patients four years of age and older with acquired hypothalamic obesity. Any delay or failure by us or our current or future collaborators to develop or obtain regulatory clearance or approval of, or certification of, such tests, if and when necessary, could delay or prevent us from obtaining such additional approvals for setmelanotide, or adversely affect the approvals we have already obtained.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and expect that we will continue to rely, on third parties to conduct research and discovery activities and in our clinical trials. If these third parties do not successfully carry out their contractual obligations or meet expected timelines, we may not be able to advance our pre-clinical and clinical programs or obtain, on a timely basis or at all, additional regulatory approvals for or commercialize our product candidates, and our business could be substantially harmed.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agreements with third-party CROs to operationalize, provide monitors for and to manage data for our research and discovery efforts (including in our CHI program) and our ongoing clinical trials. We rely heavily on these parties for the execution of research and discovery activities and clinical trials and control only certain aspects of their activities. As a result, we have less direct control over the start-up, conduct, timing and completion of these activities and clinical trials, and the management of data developed through these activities and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activities and these trials and are subject to enforcement which may include civil and criminal liabilities for any violations of FDA rules and regulations and the comparable foreign regulatory provisions during the conduct of our clinical trials. Outside parties may: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have staffing difficulties;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 to comply with contractual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devote inadequate resources to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experience regulatory compliance issues;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undergo changes in priorities or become financially distressed;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form more favorable relationships with other entities, some of which may be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factors, among others, may materially adversely affect the willingness or ability of third parties to conduct our research and discovery activities and our clinical trials and may subject us to unexpected cost increases that are beyond our control. Nevertheless, we are responsible for ensuring that all of our activities and each of our studies is conducted in accordance with the applicable protocol, legal, regulatory and scientific standards, and our reliance on third parties, including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cGMPs and similar foreign requirements.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third-party CROs terminate, we may not be able to enter into arrangements with alternative CROs. If CROs do not successfully carry out their contractual obligations or meet expected timelines, if they need to be replaced or if the quality or accuracy of the clinical and other data they obtain are compromised due to the failure to adhere to our protocols, regulatory requirements or for other reasons, any related activities or clinical trials may be extended, delayed or terminated, and we may not be able to obtain regulatory approval for, or successfully commercialize a CHI therapeutic product, setmelanotide, RM-718 or bivamelagon. As a result, our financial results and the commercial prospects for setmelanotide, RM-718 or bivamelagon, would be harmed, our costs could increase and our ability to generate revenue could be delayed.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the Commercialization of IMCIVREE and, if Approved, our Products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successful commercialization of IMCIVREE and any other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IMCIVREE or our other product candidates, if any and if approved, could limit our ability to market those products and decrease our ability to generate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provide reimbursement.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and coverage and adequate reimbursement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applied consistently or obtained in the first instance or that step edits or other conditions on reimbursement may be imposed. Furthermore, rules and regulations regarding reimbursement change frequently, in some cases on short notice, and we believe that changes in these rules and regulations are likely.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foreign countries, particularly in Canada, the United Kingdom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 products. In addition, we may face competition for IMCIVREE from lower priced products in foreign countries that have placed price controls on pharmaceutical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Health Technology Assessment, or HTA, of medicinal products, however, is becoming an increasingly common part of the pricing and reimbursement procedures in Canada,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The extent to which pricing and reimbursement decisions are influenced by the HTA of the specific medicinal product varies . In addition, in the EU, pursuant to Directive 2011/24/EU on the application of patients’ rights in cross 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data from our Phase 2 trial, in 2023 setmelanotide was granted pre-marketing early-access authorization (AP1) in France for use in patients with hypothalamic obesity. This authorization was granted within France's early-access framework by the French National Agency for Medicines and Health Products Safety (ANSM), with the involvement of the French High Health Authority (HAS), and permits temporary access to a (presumed) innovative product candidate prior to European marketing authorization provided that certain conditions are met and especially when no suitable alternatives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exist and when the benefit</w:t>
        <w:noBreakHyphen/>
        <w:t>risk profile is considered favorable. Through the AP1 program we have collected real</w:t>
        <w:noBreakHyphen/>
        <w:t>world evidence that we believe may support the potential of setmelanotide in this patient population; however, such data may not be predictive of outcomes in controlled trials or of any future regulatory decisions. Early</w:t>
        <w:noBreakHyphen/>
        <w:t>access authorization is time</w:t>
        <w:noBreakHyphen/>
        <w:t>limited, subject to ongoing review and renewal, may be modified, suspended, or terminated at any time by the competent authorities, and does not constitute, nor imply, marketing authorization in France, the EU, or elsewhere. AP1 status may not be maintained or extended, additional patients may not receive treatment under this program, and European or other regulatory authorities may not approve setmelanotide for hypothalamic obesity.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establish, maintain or expand our sales, marketing and distribution capabilities or enter into agreements with third parties to market, sell, and distribute IMCIVREE, we may not be able to generate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market IMCIVREE, we must continue to build our sales, marketing, distribution,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should not expect that we will generate substantial revenues or become profitable in the near term. If we are unable to establish, maintain or expand our sales, marketing, market access, named patient sales, patient services, reimbursement and distribution capabilities, whether independently or with third parties, or if we are unable to do so on commercially reasonable terms, our business, results of operations, financial condition and prospects would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which accounts for the largest portion of our total revenues, the Company sells its product through a specialty pharmacy and through a 3PL company. Internationally, we make sales primarily to specialty distributors and retail pharmacy chains, as well as hospitals, many of which are government-owned or supported. We believe our pharmacy and distribution partners are appropriate and optimized for our commercialization efforts at present, however, these arrangements may not continue to operate as intended or be sufficient as we expand our commercialization efforts to include additional indications, such as acquired hypothalamic obesity. In particular, we partner with our U.S. specialty pharmacy for a significant portion of our revenue. Switching to an alternative, or adding another, specialty pharmacy or distributor would involve substantial cost and require extensive management time and focus. In addition, there is a natural transition period when a new specialty pharmacy or distributor commences work. If we choose to or are required to transition to a new specialty pharmacy or distributor, such transition could result in a material decline in our revenue,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never receive regulatory approval to market setmelanotide outside of the United States, Canada, the European Union and the United Kingdom.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seek marketing authorizations in various countries worldwide. For example, we are seeking marketing authorization for setmelanotide to treat acquired hypothalamic obesity in Japan. In order to market any product outside of the United States, Canada, the EU or the United Kingdom,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 required to obtain marketing authorization in other countries might differ from that required to obtain FDA approval or marketing authorization from the EC or the MHRA. The marketing authorization processes in other countries may 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achieve or maintain market acceptance for IMCIVREE, which would limit the revenue that we generate from the sale of IMCIVREE.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commercial success of IMCIVREE will also depend upon the awareness and acceptance of IMCIVREE within the medical community, including physicians, patients and third-party payors. If IMCIVREE does not achieve or maintain an adequate level of acceptance by patients, physicians and third-party payors, we may not generate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 acceptance of IMCIVREE will depend on a number of factors, including, among others: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complexities of clinical diagnosis and/or genetic testing, as needed, for certain of IMCIVREE’s indications, including obtaining and interpreting clinical or genetic results that support patient treatment with IMCIVREE;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relative convenience and ease of SC injections as the necessary method of administration of IMCIVREE, including as compared with other treatments for patients with obesity;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prevalence and severity of any adverse side effects associated with IMCIVREE;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limitations or warnings contained in the labeling approved for IMCIVREE by the FDA or the specific obligations imposed as a condition for marketing authorization imposed by other equivalent competent authorities in foreign jurisdictions, particularly by the EC;</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availability of alternative treatments, including a number of obesity therapies already approved or expected to be commercially launched in the near future;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increase awareness of these diseases among our target populations through marketing and other cross-functional efforts;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size of the target patient population, and the willingness of the target patient population to try new therapies and of physicians to prescribe these therapies;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IMCIVREE to treat the maximum range of pediatric patients, and any limitations on its indications for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strength of marketing and distribution support and timing of market introduction of competitive products;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publicity concerning IMCIVREE or competing products and treatments;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pricing and cost effectiveness;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effectiveness of our sales and marketing strategies and our ability to increase awareness of IMCIVREE through marketing efforts;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obtain sufficient third-party coverage or reimbursement;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willingness of patients to pay out-of-pocket in the absence of third-party coverage (including in the case of named patient sales, which can be a costly and uncertain source of revenues) and the willingness of healthcare providers to obtain reimbursement, which can be challenging and may factor into their decision to prescribe IMCIVREE;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likelihood that competent authorities in foreign jurisdictions may require development of a REMS or other specific obligations as a condition of approval or post-approval, may not agree with our proposed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REMS or other specific obligations, or may impose additional requirements that limit the promotion, advertising, distribution or sales of IMCIVREE.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and generate data that could, even absent regulatory approvals, establish a perception of efficacy in our targeted patient population, which could make IMCIVREE appear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could emerge as competitors to IMCIVREE and our other product candidates. If we are not able to compete effectively against our current and future competitors, our business will not grow and our financial condition and operations will suffer.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face potential product liability exposure, and, if claims are brought against us, we may incur substantial liability.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use of setmelanotide, RM-718, and bivamelagon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 ourselves against them, we could incur substantial liabilities. In addition, regardless of merit or eventual outcome, product liability claims may result in, among other things: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withdrawal of patients from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substantial monetary awards to patients or other claimants;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decreased demand for IMCIVREE or any future product candidates following marketing approval, if obtained;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damage to our reputation and exposure to adverse publicity;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litigation costs;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distraction of management’s attention from our primary business;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loss of revenue;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inability to successfully commercialize IMCIVREE or any future product candidates, if approved.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product liability insurance coverage for our clinical trials and commercial product.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completely on third-party suppliers to manufacture our clinical and commercial drug supplies of setmelanotide, RM-718, and bivamelagon, and we intend to rely on third parties to produce preclinical, clinical and commercial supplies of any future product candidate.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currently have, nor do we plan to acquire, the infrastructure or capability to manufacture our clinical and commercial drug supply internally for setmelanotide, RM-718, bivamelagon,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 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 complete any potential preapproval inspections of the manufacturing facilities of setmelanotide, RM-718, and bivamelagon could delay the regulatory approval process. In addition, our clinical trials must be conducted with products produced in accordance with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 which could significantly impact the global supply chain for setmelanotide, RM-718, and bivamelagon.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contract with third parties for the manufacture of setmelanotide, RM-718, and bivamelagon and intend to continue to do so in the future. We have entered into process development and manufacturing service agreements with our CMOs, PolyPeptide Group, Braine L'Alleud, or Polypeptide, Neuland Laboratories, and Astrea Monts S.A.S. (formerly Recipharm), or Astrea, for certain process development and manufacturing services for regulatory starting materials and/or raw materials in connection with the manufacture of setmelanotide. We have entered into commercial supply agreements with various CMOs, including with PolyPeptide and Astrea for manufacturing of drug substance and drug product for IMCIVREE. Under our agreements, we pay these third parties for services and or manufacturing in accordance with the terms of mutually agreed upon work orders, which we may enter into from time to time. We may engage additional third-party suppliers to manufacture our clinical and/or commercial drug supplies in the future. We also have engaged other third parties to assist in, among other things, distribution, post-approval safety reporting and pharmacovigilance activities. We cannot be certain that we can engage third-party suppliers on terms as favorable as those that are currently in place. There are a limited number of companies that can produce raw materials and API in the quantities and with the quality and purity that we require for our product. We believe our current network of manufacturing partners are able to fulfill our requirements, and are capable of continuing to expand capacity as needed. However,if our current suppliers are not able to continue to provide us with the quantities, quality, or purity of raw materials and API that we currently require or in the future will require, it could materially harm our ability to manufacture our products until a new source of supply, if any, could be identified and qualified in a reasonable time or on commercially reasonable terms. Any performance failure on the part of our suppliers could interrupt production of our products, which could have a material adverse effect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evaluated, and will continue to evaluate, potential relationships with additional suppliers to increase overall capacity as well as further reduce risks associated with reliance on a limited number of suppliers for manufacturing.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bivamelagon with multiple suppliers, while assuring more robust drug availability in the future, adds additional complexity and risk to regulatory approval. If the FDA or another equivalent competent foreign regulatory agency does not approve these facilities for the manufacture of setmelanotide, RM-718, and bivamelagon or if it withdraws its approval in the future, we may need to find alternative manufacturing facilities, which would adversely impact our ability to develop, obtain regulatory approval for or market setmelanotide, RM-718, or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CMOs are manufacturing finished drug product for use in our upcoming or ongoing clinical trials and for commercial supply. We believe we currently have a sufficient amount of finished setmelanotide, RM-718, bivamelagon, and placebo to complete our ongoing and planned clinical trials, and for commercial IMCIVREE supply. However, these projections could change based on delays encountered with manufacturing activities, equipment scheduling and material lead times. Any such delays in the manufacturing of finished drug product could delay our planned clinical trials of setmelanotide, RM-718, and bivamelagon, and our commercial IMCIVREE supply, which could delay, prevent or limit our ability to generate revenue and continue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long term supply agreements in place with all of our contractors involved with the manufacturing of our weekly formulation of setmelanotide, RM-718, and bivamelagon. We currently place individual batch or campaign orders with the CMOs/suppliers that are individually contracted under existing master services and quality agreements for the weekly formulation of setmelanotide, RM-718, and bivamelagon.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bivamelagon, if approved. Our current scale of manufacturing appears adequate to support all of our current needs for clinical trial and initial commercial supplies for setmelanotide, RM-718, and bivamelagon, if approved. However, going forward, we may need to identify additional CMOs or partners to produce setmelanotide, RM-718, and bivamelagon on a larger scale.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our pharmaceutical products are manufactured outside of the United States. Recently, the U.S. government has initiated substantial changes in U.S. trade policy and U.S. trade agreements, including the initiation of tariffs on certain foreign goods, and has indicated an intention to impose tariffs on imported pharmaceutical products. In response to these tariffs, foreign governments have instituted or are considering imposing tariffs on certain U.S. goods, in addition to other retaliatory measures. If the U.S. imposes additional tariffs or other trade measures on pharmaceutical products, and in response other countries take further retaliatory trade measures, these actions could impose additional costs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Intellectual Property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adequately protect our proprietary technology or maintain issued patents directed to setmelanotide, RM-718, and bivamelagon, others could compete against us sooner, which could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patents may not have, and any of our pending patent applications that mature into issued patents may not include, claims with a scope sufficient to protect setmelanotide, RM-718, and bivamelagon. In addition, our CHI program intellectual property may not have the scientific value and commercial potential which we envision. Other parties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positions. The patent positions of biotechnology and pharmaceutical companies, including our patent positions, involve complex legal and factual questions, and, therefore, the issuance, scope, validity and enforceability of any patent claims that we may obtain cannot be predicted with certainty.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serif" w:hAnsi="Times New Roman;serif"/>
          <w:b w:val="false"/>
          <w:i/>
          <w:color w:val="000000"/>
          <w:sz w:val="20"/>
        </w:rPr>
        <w:t>ex parte</w:t>
      </w:r>
      <w:r>
        <w:rPr>
          <w:color w:val="000000"/>
        </w:rPr>
        <w:t xml:space="preserve"> </w:t>
      </w:r>
      <w:r>
        <w:rPr>
          <w:rFonts w:ascii="Times New Roman;serif" w:hAnsi="Times New Roman;serif"/>
          <w:b w:val="false"/>
          <w:color w:val="000000"/>
          <w:sz w:val="20"/>
        </w:rPr>
        <w:t xml:space="preserve">reexamination,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proceedings, post-grant review proceedings, supplemental examination and challenges in court. Patents may be subjected to opposition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 RM-718, or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may also be able to design around our patents. Other parties may develop and obtain patent protection for more effective technologies, designs or methods. The laws of some foreign countries may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RM-718, or bivamelagon are invalidated or found unenforceable, our financial position and results of operations would be materially and adversely impacted. In addition, if a court found that valid, enforceable patents held by third parties covered setmelanotide, RM-718, or bivamelagon, our financial position and results of operations would also be materially and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of our patents, or any of our pending patent applications, if issued, will include claims having a scope sufficient to protect setmelanotide, RM-718, or bivamelagon;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of our pending patent applications will issue as patents;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be able to successfully commercialize IMCIVREE or our other product candidates before our relevant patents expire;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others will not develop similar or alternative technologies that do not infringe our patents;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of our patents will be found to ultimately be valid and enforceable;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develop additional proprietary technologies or product candidates that are separately patentable;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commercial activities or products will not infringe upon the patents of others.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upon unpatented trade secrets, unpatented know-how, and continuing technological innovation to develop and maintain our competitive positions,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 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licensors, which could be expensive, time consuming and unsuccessful.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infringe the intellectual property rights of others, which may prevent or delay our product development efforts and stop us from commercializing or increase the costs of commercializing IMCIVREE or our other product candidates.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non-U.S. patents and pending applications exist that cover melanocortin receptor analogs and methods of using these analogs.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pharmaceutical industry is characterized by extensive litigation regarding patents and other intellectual property rights. Other parties may allege that setmelanotide, RM-718, or bivamelagon or the use of our technologies infringes patent claims or other intellectual property rights held by them or that we are employing their proprietary technology without authorization.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and we could not obtain such a license, we may be forced to stop or delay developing, manufacturing, selling or otherwise commercializing IMCIVREE or our other product candidates.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time-consuming:</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cease development of setmelanotide and commercialization of IMCIVREE or our other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pay substantial damages for past use of the asserted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obtain a license from the holder of the asserted intellectual property, which license may not be available on reasonable terms, if at all;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case of trademark claims, rename setmelanotide and/or its trade name IMCIVREE.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risks coming to fruition could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or ownership of our patents and other intellectual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subject to claims that former employees, collaborators or other third parties have an inventorship or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Issued patents covering setmelanotide or our other product candidates could be found invalid or unenforceable if challenged in court.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If we or one of our licensing partners threatened or initiated legal proceedings against a third party to enforce a patent covering setmelanotide or one of our other product candidates, the defendant could claim that the patent covering setmelanotide or the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parties may also raise similar claims before administrative bodies in the United States or abroad, even outside the context of litigation. Such mechanisms include re-examination,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post grant review and equivalent proceedings in foreign jurisdictions, for example, opposition proceedings. Such proceedings could result in revocation or amendment of our patents in such a way that they no longer cover setmelanotide, our other product candidates,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or our other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on setmelanotide and our other product candidates in all countries and jurisdictions throughout the world would be prohibitively expensive, and our intellectual property rights in some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dependent on licensed intellectual property. If we were to lose our rights to licensed intellectual property, we may not be able to continue developing or commercializing setmelanotide or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licensed our rights to setmelanotide from Ipsen, and our rights to bivamelagon from LGC. Our licenses with Ipsen and LGC impose various obligations on us, and provide Ipsen and LGC the right to terminate the license in the event of our material breach of the license agreement, our failure to initiate or complete certain development of a licensed product, or our commencement of an action seeking to have an Ipsen or LGC licensed patent right declared invalid. Termination of our license from Ipsen or LGC would result in our loss of the right to use the licensed intellectual property, which would materially adversely affect our ability to develop and commercialize setmelanotide and bivamelagon, respectively, as well as harm our competitive business position and our business prospects. Furthermore, if our license agreement with LGC were terminated, we may be subject to certain refunds or be subject to certain payments to LGC.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have licensed from Camurus its drug delivery technology, FluidCrystal®, to formulate once-weekly setmelanotide. Our license with Camurus imposes various obligations on us, and provides Camurus the right to terminate the license in the event of our material breach of the license agreement. Termination of our license from Camurus would result in our inability to use the licensed intellectual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enter into additional license agreements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termination could result in our loss of the right to use the licensed intellectual property, which could materially adversely affect our ability to develop and commercialize setmelanotide or bivamelagon, as well as harm our competitive business position and our business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While we have registered trademarks for the commercial trade name IMCIVREE (setmelanotide) in the United States, the European Union, and other jurisdictions, we have not yet obtained trademark protection for IMCIVREE in certain foreign jurisdictions and failure to secure such registrations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those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FDA marketing approval for setmelanotide and our other product candidates, one or more of the U.S. patents we own or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We have received patent term extension for IMCIVREE and will apply for patent term extension for our other product candidates at the appropriate time, however, we may not be granted an extension for these other product candidates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setmelanotide contains active ingredients that the FDA determined to be a new chemical entity, it was afforded five years of non-patent data exclusivity by the FDA. Following the expiration of this exclusivity period, the FDA may approve generic products referencing the information included in our NDA for setmelanotide. Manufacturers may seek to launch these generic products, even if we still have patent protection for setmelanotide. Legislation enacted by Congress has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States enacted the America Invents Act of 2011, wide is a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alleged trade secrets of their former employers.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have been previously employed at other biotechnology or pharmaceutical companies, including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their work product could hamper or prevent our ability to commercialize setmelanotide or our other product candidates, which would materially adversely affect our commercial development efforts.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Regulatory Approval and Marketing of IMCIVREE and Other Legal and Compliance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candidates and our ability to generate revenue will be materially impaired.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business depends largely on its successful clinical development, regulatory approval and commercialization of our product candidates. In the United States, IMCIVREE is approved to reduce excess body weight and maintain weight reduction long term in adults and pediatric patients 2 years of age and older with syndromic or monogenic obesity due to BBS or POMC, PCSK1 or LEPR deficiency as determined by genetic testing demonstrating variants in </w:t>
      </w:r>
      <w:r>
        <w:rPr>
          <w:rFonts w:ascii="Times New Roman;serif" w:hAnsi="Times New Roman;serif"/>
          <w:b w:val="false"/>
          <w:i/>
          <w:color w:val="000000"/>
          <w:sz w:val="20"/>
        </w:rPr>
        <w:t>POMC, PCSK1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LEPR</w:t>
      </w:r>
      <w:r>
        <w:rPr>
          <w:color w:val="000000"/>
        </w:rPr>
        <w:t xml:space="preserve"> </w:t>
      </w:r>
      <w:r>
        <w:rPr>
          <w:rFonts w:ascii="Times New Roman;serif" w:hAnsi="Times New Roman;serif"/>
          <w:b w:val="false"/>
          <w:color w:val="000000"/>
          <w:sz w:val="20"/>
        </w:rPr>
        <w:t>genes that are interpreted as pathogenic, likely pathogenic, or of uncertain significance, and in adults and pediatric patients four years of age and older with acquired hypothalamic obesity. Health Canada 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 in adults and children 4 years of age and above with acquired hypothalamic obesity (aHO) due to hypothalamic injury or impairment, and for the treatment of obesity and the control of hunger associated with genetically confirmed BBS or genetically confirmed loss-of-function biallelic POMC, including PCSK1, deficiency or biallelic LEPR deficiency in adults and children 2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Setmelanotide will require substantial additional clinical development, testing and regulatory approval before we are permitted to commence commercialization in indications beyond those currently approved for IMCIVREE in the United States, the EU and the United Kingdom,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 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 to fund our development and clinical trials, we cannot assure you that setmelanotide will be successfully developed or commercialized.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obtaining FDA or EC approval is a complex, lengthy, expensive and uncertain process, and the FDA, EMA or equivalent competent authorities in foreign jurisdictions may delay, limit or deny approval of our product candidates for many reasons, including, among others: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not be able to demonstrate to the satisfaction of the FDA, the EMA, or other equivalent competent authorities in foreign jurisdictions that our product candidates are safe and effective for their intended uses;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results of our clinical trials may not be interpretable or meet the level of statistical or clinical significance required by the FDA, the EMA, or other equivalent competent authorities in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jurisdictions for marketing approval. For example, the potential unblinding of setmelanotide studies due to easily identifiable AEs may raise the concern that potential bias has affected the clinical trial results;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disagree with the number, size, conduct or implementation of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require that we conduct additional clinical trials or pre-clinical studies;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CROs that we retain to conduct our clinical trials may take actions outside of our control that materially adversely impact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find the data from preclinical studies and clinical trials insufficient to demonstrate that clinical and other benefits of a product candidate outweigh its safety risks;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disagree with our interpretation of data from our preclinical studies and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or other equivalent competent authorities in foreign jurisdictions may not approve the formulation, labeling or specifications of our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not accept data generated at our clinical trial sites;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the equivalent competent authorities in foreign jurisdictions may require, as a condition of approval, additional preclinical studies or clinical trials, limitations on approved labeling or distribution and use restrictions;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not be able to meet any post-market requirements or commitments agreed to in connection with regulatory approvals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may require development of a REMS as a condition of additional approvals or may impose additional requirements that limit the promotion, advertising, distribution, or sales of our product candidate;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EC may grant only conditional marketing authorization or based on the EMA’s opinion impose specific obligations as a condition for marketing authorization, or may require us to conduct post authorization safety studies as a condition of grant of marketing authorization;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or other equivalent competent foreign regulatory agencies may deem our manufacturing processes or our facilities or the facilities of our CMOs inadequate to preserve the identity, strength, quality, purity, or potency of our product;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or the equivalent competent authorities in foreign jurisdictions may change its approval policies or adopt new regulations and guidance.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Future regulatory legislation or regulation may increase the difficulty and cost for us to obtain marketing approval of and commercialize our product candidates.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EU pharmaceutical legislation has been undergoing a complete review process, in the context of the Pharmaceutical Strategy for Europe initiative, launched by the EC in November 2020. The EC’s proposal for a revision of several legislative instruments related to medicinal products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Furthermore, on April 28, 2025, the UK adopted an amendment to the UK clinical trials regulations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EU Clinical Trials Directive, into closer alignment with the (EU) CTR. The amendment will become applicable April 28, 2026, following a one-year transition period. The revisions, may, however, have a significant impact on the pharmaceutical industry and our business in the long term.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FDA oversees the rare pediatric disease priority review voucher program (the “PRV Program”), which aims to incentive drug development for rare pediatric diseases. Under the PRV Program, a company sponsor that receives a drug approval may qualify for a voucher that can be redeemed to receive priority review for a different product and these vouchers can be transferred or sold. Under the current provisions in the law enacting the PRV Program, the PRV Program will sunset after September 30, 2029. Any changes to the PRV Program could impact existing and future development programs and could negatively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Disruptions at the FDA, including those caused by changing policy priorities, funding shortages staffing or other resource limitations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ability of the FDA and foreign regulatory authorities to review and or approve new products can be affected by a variety of factors, including reductions in force or hiring freezes,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including uncertainty associated with the new presidential administration in the United States. Average review times at the FDA and foreign regulatory authorities have fluctuated in recent years as a result of some of these factors and could also fluctuate in the future.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and started to implement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activities.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prolonged government shutdown occurs, or if policy changes, funding shortages or staffing limitations or any other disruptions prevent or hinder the FDA or other regulatory authorities from conducting their regular inspections, reviews, or other activities, including providing us with advice on our development programs in a timely manner, such events could significantly impact the ability of the FDA or other regulatory authorities to timely review and process our regulatory submissions, which could have a material adverse effect on our business. It could also impact our ability to access the public markets and obtain necessary capital in order to fund our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authorities may impose significant restrictions on setmelanotide’s indicated uses or marketing or impose ongoing requirements for potentially costly post approval studies, and the same may be true for our other product 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 approved product, product labeling or manufacturing process, or adding new manufacturers. Similar requirements apply in foreign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issue warning letters or untitled letters;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seek an injunction or impose civil or criminal penalties or monetary fines;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vary, suspend or withdraw marketing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suspend any ongoing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refuse to approve pending applications or supplements to applications submitted by us;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suspend or impose restrictions on operations, including costly new manufacturing requirements;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seize or detain setmelanotide, refuse to permit the import or export of setmelanotide, or request that we initiate a product recall.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ability to achieve or sustain profitability. Thus, the cost of compliance with post-approval regulations may have a negative effect on our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additional downward pressure on the price that we, or any future collaborators, may receive for IMCIVREE or any product candidates approved for sale. New and changing laws and regulations may also create uncertainty about how such laws and regulations will be interpreted and applied. If the Company is found to have violated laws and regulations, it could materially adversely affect the Company’s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 our ability to commercialize and the prices we may obtain for any product candidates that are approved for sale, are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expansion of manufacturers’ rebate liability under the Medicaid Drug Rebate Program by increasing the minimum rebate for both branded and generic drugs, revising the “average manufacturer price” definition, and extending manufacturer rebate liability from fee-for-service Medicaid utilization to include the utilization of Medicaid managed care organizations as well;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Patient Centered Outcomes Research Institute to oversee, identify priorities in, and conduct comparative clinical effectiveness research, along with funding for such research;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establishment of the Center for Medicare and Medicaid Innovation within CMS to test innovative payment and service delivery models to lower Medicare and Medicaid spending, including prescription drug spending.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its enactment, certain provisions of the ACA have been subject to judicial, executive, and legislative challenges and may be subject to additional challenges in the future. In addition, other legislative changes have been proposed and adopted since the ACA was enacted. For example, additional changes that may affect our business include the expansion of new programs such as Medicare payment for performance initiatives for physicians under the Medicare Access and CHIP Reauthorization Act of 2015, or MACRA, which was fully implemented in 2019.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Inflation Reduction Act or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IRA manufacturer discount program that replaced the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IRA allows the 10 and 20 percent discounts to be phased in over time for certain drugs for “specified manufacturers.” In April 2024, CMS informed us that we are deemed a specified manufacturer. At present, we do not have coverage for IMCIVREE under Medicare Part D and, accordingly, the impact of the IRA manufacturer discount program is not currently material to our business, however, future changes to IMCIVREE's Part D coverage and/or the IRA could have a substantial impact on our future revenues.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IMCIVREE is not currently reimbursed under Medicare Part D, but if we were to be reimbursed under Medicare Part D in the future, the reimbursement amount will be impacted by the 10 and 20 percent discounts under the IRA’s new discounting program. We anticipate that these increased discounts could impact IMCIVREE revenues, while also having an industry-wide impact on the cost of Part D drugs. The impact on IMCIVREE revenues could be offset because the IRA’s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redesign of certain Part D components, some of which went into effect in 2024, resulted in an increase in the number of patients able to afford this therapy. The amount of the offset, if any, is inherently uncertain and difficult to predict.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IRA manufacturer discounting program also increases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IMCIVREE or any other product candidate that we commercialize.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IMCIVREE.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IMCIVREE or the frequency with which IMCIVREE is prescribed or used.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color w:val="000000"/>
        </w:rPr>
        <w:t>“</w:t>
      </w:r>
      <w:r>
        <w:rPr>
          <w:rFonts w:ascii="Times New Roman;serif" w:hAnsi="Times New Roman;serif"/>
          <w:b w:val="false"/>
          <w:i/>
          <w:color w:val="000000"/>
          <w:sz w:val="20"/>
        </w:rPr>
        <w:t xml:space="preserve">The successful commercialization of IMCIVREE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w:t>
      </w:r>
      <w:r>
        <w:rPr>
          <w:color w:val="000000"/>
        </w:rPr>
        <w:t xml:space="preserve"> </w:t>
      </w:r>
      <w:r>
        <w:rPr>
          <w:rFonts w:ascii="Times New Roman;serif" w:hAnsi="Times New Roman;serif"/>
          <w:b w:val="false"/>
          <w:color w:val="000000"/>
          <w:sz w:val="20"/>
        </w:rPr>
        <w:t>in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recently-enacted IRA imposes rebates under Medicare Part B and Medicare Part D that are triggered by price increases that outpace inflation (first due in 2023), as described under the risk factor</w:t>
      </w:r>
      <w:r>
        <w:rPr>
          <w:color w:val="000000"/>
        </w:rPr>
        <w:t xml:space="preserve"> “</w:t>
      </w:r>
      <w:r>
        <w:rPr>
          <w:rFonts w:ascii="Times New Roman;serif" w:hAnsi="Times New Roman;serif"/>
          <w:b w:val="false"/>
          <w:i/>
          <w:color w:val="000000"/>
          <w:sz w:val="20"/>
        </w:rPr>
        <w:t>Current and future healthcare reform 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color w:val="000000"/>
        </w:rPr>
        <w:t xml:space="preserve"> </w:t>
      </w:r>
      <w:r>
        <w:rPr>
          <w:rFonts w:ascii="Times New Roman;serif" w:hAnsi="Times New Roman;serif"/>
          <w:b w:val="false"/>
          <w:color w:val="000000"/>
          <w:sz w:val="20"/>
        </w:rPr>
        <w:t>above. The Medicare Part D rebate, if applicable, will be calculated on the basis of the AMP figures we report pursuant to the MDRP.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FDA and other regulatory agencies actively enforce the laws and regulations prohibiting the promotion of off-label uses.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the reduction of excess body weight and maintenance of weight reduction long term in adult and pediatric patients 2 years of age and older with monogenic or syndromic obesity due to BBS or POMC, PCSK1, or LEPR, deficiency confirmed by genetic testing demonstrating variants in POMC, PCSK1, or LEPR genes that are interpreted as pathogenic, likely pathogenic, or of uncertain significance, and in adults and pediatric patients four years of age and older with acquired hypothalamic obesity.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approved by the FDA. These “off-label” uses are common across medical specialties and may constitute an appropriate treatment for some patients in varied circumstances. For example, we are actively evaluating setmelanotide, the active ingredient in IMCIVREE, in subjects with other forms of obesity caused by defects in the MCR4 pathway. We are not currently permitted to, and do not, market or promote setmelanotide for these uses.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federal, state and foreign healthcare laws and regulations, 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which we market, sell and distribute setmelanotide, if we obtain marketing approval. The U.S. federal, state and foreign healthcare laws and regulations that may affect our ability to operate include, but are not limited to:</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 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 squarely within an exception or safe harbor. Our practices may not in all cases meet all of the criteria for safe harbor protection from anti-kickback liability. Moreover, there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safe harbors for many common practices, such as educational and research grants, charitable donations, product and patient support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 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governmental authorities will conclude that our business practices do not comply with current or future statutes, regulations or case law involving applicable antitrust, fraud and abuse, privacy, or other healthcare laws 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generate negative publicity, which could harm our financial condition and divert our management’s attention from the operation of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employees may engage in misconduct or other improper activities, whether knowingly or unknowingly, including violating applicable regulatory standards and requirements or engaging in insider trading, which could significantly harm our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exposed to the risk of employee fraud or other misconduct. Misconduct by employees could include intentional or unintentional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w:t>
      </w:r>
      <w:r>
        <w:rPr>
          <w:color w:val="000000"/>
        </w:rPr>
        <w:t xml:space="preserve"> “</w:t>
      </w:r>
      <w:r>
        <w:rPr>
          <w:rFonts w:ascii="Times New Roman;serif" w:hAnsi="Times New Roman;serif"/>
          <w:b w:val="false"/>
          <w:i/>
          <w:color w:val="000000"/>
          <w:sz w:val="20"/>
        </w:rPr>
        <w:t xml:space="preserve">We may be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federal and state healthcare laws and regulations. If we are unable to comply or have not fully complied with such laws and regulations, we could face criminal sanctions, damages, substantial civil penalties, reputational harm and diminished profits and future earnings”</w:t>
      </w:r>
      <w:r>
        <w:rPr>
          <w:color w:val="000000"/>
        </w:rPr>
        <w:t xml:space="preserve"> </w:t>
      </w:r>
      <w:r>
        <w:rPr>
          <w:rFonts w:ascii="Times New Roman;serif" w:hAnsi="Times New Roman;serif"/>
          <w:b w:val="false"/>
          <w:color w:val="000000"/>
          <w:sz w:val="20"/>
        </w:rPr>
        <w:t>of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Actual or perceived failure to comply with data protection, privacy and security laws and regulations could lead to government enforcement actions and significant penalties against us, and adversely impact our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our contracts governing our processing of personal information, or other privacy and security obligations could result in negative publicity, government investigations and enforcement actions, claims by third parties and damage to our reputation, any of which could have a material adverse effect on our financial performance, business and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consumer protection laws, including Section 5 of the Federal Trade Commission Act, which govern the collection, use, disclosure and protection of health-related and other personal information, may apply to our operations and the operations of current and future collaborators.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 to other state laws governing the privacy, processing and protection of personal information.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enacted in numerous other states, and are continuing to be proposed at the state and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Federal Trade Commission, or FTC, and many state Attorneys General continue to enforce federal and state consumer protection laws against companies for the collection, use, and dissemination of personal information,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2024, the National Security Division of the U.S. Department of Justice (DOJ) issued a new rule—referred to as the “Data Security Program” (DSP)—to implement Executive Order 14117 aimed at preventing access to “bulk U.S. sensitive personal data” and “government-related data” by “countries of concern” (including China, Russia, Iran, North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abroad may also be subject to increased scrutiny or attention from data protection authorities. For example, in Europe, we are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the processing of the personal data of individuals within the European Economic Area, or EEA, and the UK or in the context of our activities in the EEA or UK,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or UK, security breach notifications, and security and confidentiality of the personal data, and violations of these requirements could result in substantial fines, up to the greater of 20 million Euros / 17.5 million GBP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Among other requirements, the GDPR also regulate transfers of personal data subject to the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use artificial intelligence, or AI,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perception of their requirements may have on our business and may not always be able to anticipate how to respond to these laws or regulations.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future growth depends, in part, on our ability to continue to penetrate foreign markets, where we will be subject to additional regulatory burdens and other risks and uncertainties.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customers’ ability to obtain reimbursement for setmelanotide in foreign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inability to directly control commercial activities because we are relying on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import or export licensing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longer accounts receivable collection times;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longer lead times for shipping;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language barriers for technical training;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reduced protection of intellectual property rights in some foreign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foreign currency exchange rate fluctuations;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sales of setmelanotide could also be adversely affected by the imposition of governmental controls, political and economic instability, trade restrictions and changes in tariffs, including the imposition of tariffs by the United States or any other tariffs that could apply directly or indirectly to the costs of goods required to manufacture setmelanotide.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Laws and regulations governing any international operations we may have in the future may impact our ability to develop, manufacture and sell setmelanotide or our other product candidates outside of the United States and require us to develop and implement costly compliance programs.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continue to expand our operations outside of the United States, we must dedicate additional resources to comply with numerous laws and regulations in each jurisdiction in which we plan to operate. For example, we enrolled patients from Japan for our Phase 3 TRANSCEND clinical trial and submitted our full data package to Japan's Pharmaceuticals and Medical Devices Agency to seek marketing authorization for setmelanotide to treat acquired hypothalamic obesity in Japan. The Foreign Corrupt Practices Act of 1977, or the FCPA, prohibits any U.S. individual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impact our ability to develop, manufacture or sell certain product candidates and products outside of the United States, which could limit our growth potential and increase our development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results of the United Kingdom’s departure from the EU, and the resulting impact of differing regulations, may have a negative effect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end of the Brexit transition period on January 1, 2021, and the implementation of the Windsor Framework on January 1, 2025, the UK has not been directly subject to EU law with respect to medicinal products and has operated under a separate regulatory regime to the EU. As a result of the Northern Ireland Protocol, different rules applied in Northern Ireland than in Great Britain; broadly, Northern Ireland continued to follow the EU regulatory regime. However, on January 1, 2025, an arrangement called the “Windsor Agreement”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medicinal products. There could be additional uncertainty and risk around what these changes mean to our business. With the exception of the adopted amendment to the UK clinical trials regulations on April 28, 2025, it is currently unclear to what extent the UK government will seek to align its regulations with the EU with respect to medicinal products. EU law, which has been transposed into UK law through secondary legislation, still remains applicable in the UK, however, new EU legislation such as the CTR is not applicable in the UK. While the UK has indicated a general intention that new laws regarding the manufacture and commercialization of medicinal products in the UK will align closely with EU law, there remain limited detailed proposals for the future regulation of medicinal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the UK from the EU in the future, which may impact clinical and development activities that occur in the UK. Similarly, clinical trial submissions in the UK cannot be bundled with those of EU member states within the EMA Clinical Trial Information System (CTIS). Any divergent requirements may increase the cost and complexity of running our business, including with respect to the conduct of clinical trials.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The UK is no longer covered by the EU’s procedures for the grant of MA. A separate MA is required to market medicinal products in the UK. Such changes could increase our costs and otherwise adversely affect our business. Any delay in obtaining, or an inability to obtain regulatory approvals, as a result of Brexit or otherwise, may prevent us from commercializing our product candidates in the UK and restrict our ability to generate revenue and achieve or sustain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profitability. If any of these outcomes occur, we may be forced to restrict or delay efforts to seek regulatory approval in the UK for our product candidates, which could significantly and materially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Employee Matters and Managing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future success depends on our ability to retain our key employees and consultants, and to attract, retain and motivate qualified personnel.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our executive leadership team. We have employment agreements with these individuals, but any individual may terminate his or her employment with us at any time. The loss of their services might 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retaining qualified scientific, technical, clinical development, regulatory,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 In addition, we rely on existing employment-related visa programs to attract and retain qualified personnel. Immigration policy changes and uncertainty associated with the new presidential administration in the United States, including potential changes to the number of employment-related visas available as well as the process to obtain them, could make it more difficult to retain existing personnel and to recruit qualified candidates. For example, on September 19, 2025, it was announced that subject to limited exceptions, petitions for H-1B visas should be approved only if they are accompanied by a payment of $100,000. This policy could hamper our recruitment efforts for any new personnel who require such a visa. Additional changes in U.S. immigration policies, rules, laws or orders could further increase our recruitment costs or delay key projects that require specialized expertise. In addition, restrictions or delays in the issuance of other visas or in immigration processing could adversely affect our ability to collaborate effectively with our employees outside the U.S. and to retain the qualified personnel needed for our operations. If we and our impacted candidates or employees are unable to obtain work visas in sufficient quantities or at a sufficient rate for a significant period of time, our business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will need to develop and expand our Company, and we may encounter difficulties in managing this development and expansion, which could disrupt our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increase our number of employees and the scope of our operations. In particular, we will need to continue our transition from a research and development focused company to a commercial-stage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 loss of employees and reduced productivity among remaining employees. We may not be able to successfully recruit the personnel we require to operate and expand our business, including our expansion into new countries and markets due to a number of factors, including a lack of understanding of local employment practices, cultural barriers, low or no brand recognition as a desired employer or place to work, or the perceived risk of joining a company with a limited operating history. If our management is unable to effectively manage our expected development and expansion, our expenses may increase more than expected, our ability to generate or increase our revenue could be reduced and we may not be able to implement our business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information technology systems, or those of our third-party CROs, CMOs or other contractors or consultants, may fail or suffer security breaches, which could result in a material disruption of setmelanotide and other product candidate development programs, regulatory investigations, enforcement actions and lawsuits.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produce, collect, process and store sensitive data, including intellectual property, our proprietary business information and that of our suppliers, as well as personally identifiable information, including of our employees. Similarly, our third-party CROs, CMOs and other contractors and consultants possess certain amounts of our sensitive data. We have implemented certain physical, administrative and technical controls intended to ensure the confidentiality, integrity and availability of such sensitive information, and the secure maintenance of this information is material to our operations and business strategy. Even with the implementation of security measures, our information technology systems and those of our third-party CROs, CMOs and other contractors and consultants are susceptible to attack, damage, or interruption from computer security incidents and cyberattacks such as malware (e.g., ransomware), phishing and other social engineering attacks employee or contractor theft, misuse or human error, denial or degradation of service attacks, supply chain attacks, advanced persistent threats from nation-state actors, attacks developed or enhanced using artificial intelligence, and unauthorized access or use by persons inside or outside our organization. As a result of our hybrid work environment, we also face increased cybersecurity risks due to employees accessing company resources from insecure networks, and using personal (i.e., “bring-your-own-device”) or unmanaged devices which often lack enterprise-grade security controls and all of which creates additional opportunities for cybercriminals to exploit vulnerabilities and use social engineering techniques to carry out a cyberattack. Any such attack, incident or breach could compromise our information technology systems which may result in sensitive information being accessed, publicly disclosed, lost, corrupted or stolen. Further, cyberattacks are increasing in their frequency, persistence, sophistication and intensity, often conducted by organized and well-funded criminal groups with a wide range of motives and expertise. Consequently, our security controls may not always prevent a cyberattack, and a threat actor may remain undetected in our systems for an extended period of time. Our cybersecurity risk management program and processes, including our policies, controls or procedures, may not be fully implemented, complied with or effective in protecting our systems and information. We maintain cyber liability insurance; however, it may not be sufficient to cover the financial, legal, business or reputational losses that may result from a service interruption or breach of our systems.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healthcare industry is increasingly integrating AI technologies and tools. However, like any emerging technology, AI presents its own set of risks, many of which are not yet fully understood. For example, AI algorithms may have inherent flaws, and data sets could be insufficient, low-quality, or biased. Additionally, inappropriate or controversial data practices by data scientists, engineers, and end-users could compromise results of AI processes. If AI applications generate flawed or inaccurate analyses or date, it could lead to competitive disadvantages, legal liabilities, and harm to our brand or reputation. Furthermore, the use of AI-based software might result in the inadvertent release of confidential information.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legislative and regulatory landscape for privacy and data protection continues to evolve, and there has been an increasing amount of focus on privacy and data protection issues with the potential to affect our business, including laws in every state requiring security breach notification. Some laws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 in legal claims or proceedings and liability under state, federal and international privacy laws, disruption of our operations, and damage to our reputation, which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put into place certain safeguards with technology, process and education to mitigate the risks inherent in our information technology systems and to defend against cyberattacks and security incidents. Although we do not believe that we have experienced any significant system failure, accident or security breach to date, including any significant or material cyberattacks and/or other information technology security incidents, if such an event were to occur and cause interruptions in our operations, it could result in a material disruption of our programs and material harm to our business and reputation. For example, the breach or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applications relating to our technology or product candidates, or inappropriate disclosure of confidential or proprietary information, we could incur liabilities and the further development of setmelanotide and our product candidates could be delayed or prevented.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directors and executive officers and their affiliated entities own a significant percentage of our stock and, if they choose to act together, will be able to exert significant influence over matters subject to stockholder approval.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executive officers and directors and their respective affiliates, in the aggregate, hold shares representing approximately 0.79% of our outstanding voting stock as of March 31, 2026. As a result, if these stockholders were to choose to act together, they would be able to significantly influence all matters submitted to our stockholders for approval, as well as our management and affairs. For example, these stockholders could significantly influence elections of directors, any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Market volatility may affect our stock price and the value of your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for our common stock has been volatile and may continue to fluctuate significantly in response to a number of factors, most of which we cannot control, including, among others: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plans for, progress of, or results from preclinical studies and clinical trials of setmelanotide and our other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failure of the FDA or EMA to approve IMCIVREE for additional indications or to initially approve our other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announcements of new products, technologies, commercial relationships, acquisitions or other events by us or our competitors;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success or failure of other weight loss therapies and companies targeting the rare diseases we intend to address;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of setmelanotide or our other product candidates, if approved, to achieve commercial success;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fluctuations in stock market prices and trading volumes of similar companies;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general market conditions and overall fluctuations in U.S. and global equity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global macroeconomic conditions or instability, including with respect to inflation rates or interest rates, curtailment of trade and other business restrictions such as tariffs or trade wars, boycotts, labor shortages, supply chain shortages, disruptions and instability in the banking industry and other parts of the financial services sector, outbreak of disease or epidemics, or other economic, political or legal changes, uncertainties or adverse developments;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terrorism and/or political instability, unrest and wars, which could delay or disrupt our business, and if such political unrest escalates or spills over to or otherwise impacts additional regions it could heighten many of the other risk factors included in this sections;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disasters and other extreme weather events (including as a result of climate change), which could cause significant damage to the infrastructure upon which our business operations rely, and the timing, nature or severity of which we may be unable to prepare for;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global political changes and uncertainty, including in the United States with the changes arising from a new presidential administration and resulting changes and uncertainty in administrative agencies with authority over our business;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variations in our quarterly operating results;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our financial guidance or securities analysts’ estimates of our financial performance;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raise additional capital and the terms on which we can raise it;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sales of large blocks of our common stock, including sales by our executive officers, directors and significant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discussion of us or our stock price by the press and by online investor communities;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 risks and uncertainties described in these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quarterly operating results may fluctuate significantly.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operating results to be subject to quarterly fluctuations, which may be significant and difficult to anticipate over time. Our net loss and other operating results will be affected by numerous factors, including:</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variations in the level of expenses related to our development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addition or termination of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lawsuit, including any intellectual property infringement lawsuit in which we may become involved;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developments affecting setmelanotide and our other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execution of any collaborative, licensing or similar arrangements, and the timing of payments we may make or receive under these arrangements;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achievement and timing of milestone payments under our existing collaboration and license agreements;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level of underlying demand for setmelanotide and our customers’ buying patterns.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quarterly operating results fall below the expectations of investors or securities analysts for any given quarter, the price of our common stock could decline substantially. Furthermore, any quarterly fluctuations in our operating results may, in turn, cause the price of our stock to fluctuate substantially.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ability to use certain net operating loss carryovers and other tax attributes may be limited.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 such as research tax credits may also be carried forward to offset future taxable income, if any, until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attributes are used or expire. As of December 31, 2025, we had approximately $917.3 million and $807.9 million of unused federal and state NOL carryforwards, respectively, and approximately $15.3 million and $4.6 million of unused federal and state carryforwards of research tax credits, respectively. Of the federal NOL carryforwards at December 31, 2025, $844.1 million can be carried forward indefinitely. Additionally, as of December 31, 2025, we had federal orphan drug credits related to qualifying research of $46.2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 whether an ownership change for purposes of Section 382 or 383 has occurred, or whether there have been multiple ownership changes since our inception, due to the significant costs and complexities associated with such study.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use of our tax attributes will also be limited to the extent that we do not generate positive taxable income in future tax periods. We do not expect to generate positive taxable income in the near future and we may never achieve tax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Substantial future sales or perceived potential sales of our common stock in the public market could cause the price of our common stock to decline significantly.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of our common stock in the public market, or the perception that these sales could occur, could cause the market price of our common stock to decline significantly. As of March 31, 2026, we had 68,445,084 shares of common stock outstanding. In addition, on February 26, 2026, we filed with the SEC a registration statement on Form S-3ASR containing a prospectus covering the resale from time to time by the holders of the Convertible Preferred Stock of up to an aggregate of 2,395,831 shares of common stock, to satisfy registration rights that the Company granted to such holders in connection with the issuance of the Convertible Preferred Stock. Holders of the Convertible Preferred Stock have converted Convertible Preferred Stock to common stock, and to the extent they continue to convert their shares to common stock and sell such shares, the price of our common stock could be significantly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at an increased risk of securities litigation, including class action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and have an increased risk of securities litigation, including class action litigation. If we were to be sued, it could result in substantial costs and a diversion of management’s attention and resources, which could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do not intend to pay dividends on our common stock and, consequently, your ability to achieve a return on your investment will depend on appreciation in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Additionally, our Convertible Preferred Stock ranks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common stock is subordinated to our Convertible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our Investment Agreement, the Company issued 150,000 shares of a new series of the Company’s Convertible Preferred Stock for an aggregate purchase price of $150.0 million, or $1,000 per share. The Convertible Preferred Stock ranks senior to the shares of the Company’s common stock, with respect to the payment of dividends and the distribution of assets upon a liquidation, dissolution or winding up of the Company. The Convertible Preferred Stock has an initial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is convertible into shares of our common stock at the option of the holders thereof subject to the terms of the Amended and Restated Certificate of Designations.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holders of the Convertible Preferred Stock generally will be entitled to vote with the holders of the shares of our common stock, subject to certain restrictions pursuant to the terms of the Amended and Restated Certificate of Designations, on all matters submitted for a vote of holders of shares of our common stock (voting together with the holders of shares of our common stock as one class) on an as-converted basis, subject to certain ownership limitations. 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 Additionally, certain matters will require the approval of the holders of two-thirds of the outstanding Convertible Preferred Stock, voting as a separate class, including (1) the authorization, creation, increase in 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 (3) certain business combinations and binding or statutory share exchanges or involving the Convertible Preferred Stock unless such events do not adversely affect the rights, preferences or voting powers of the Convertible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 a classified board of directors so that not all members of our board are elected at one time;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permit only the board of directors to establish the number of directors and fill vacancies on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authorize the issuance of “blank check” preferred stock that our board could use to implement a stockholder rights plan (also known as a “poison pill”);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prohibit cumulative voting;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authorize our board of directors to amend the bylaws;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 to our board or for proposing matters that can be acted upon by stockholders at annual stockholder meetings;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 a super-majority vote of stockholders to amend some provisions described above.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an alternate preferred judicial forum for disputes with us or our directors, officers or employees.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the Court of Chancery of the State of Delaware is the exclusive forum for: (i) any derivative action or proceeding brought on our behalf; (ii) any action asserting a claim of breach of 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in the past and may in the future acquire businesses or products, form strategic alliances or create joint ventures in the future, and we may not realize their benefits.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acquire additional businesses or products, form strategic alliances or create joint ventures with third parties that we believe will complement or augment our existing business. For example, in February 2023, in order to expand our pipeline and build on our focus on rare endocrinology diseases, we acquired Xinvento B.V., a Netherlands-based biotech company focused on developing therapies for CHI. As we acquire businesses with promising markets or technologies, we may not be able to realize the benefit of acquiring such businesses if we are unable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 active market for our common stock may not be maintained.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stock began trading on the Nasdaq Global Market in October 2017 . We may not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continue to publish research or reports or publish unfavorable research or reports about our business, our stock price and trading volume could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Raising additional capital may cause dilution to our existing stockholders, restrict our operations or require us to relinquish rights.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setmelanotide, our intellectual property or future revenue streams, or grant licenses on terms that are not favorable to us. See above, under the heading</w:t>
      </w:r>
      <w:r>
        <w:rPr>
          <w:color w:val="000000"/>
        </w:rPr>
        <w:t xml:space="preserve"> “</w:t>
      </w:r>
      <w:r>
        <w:rPr>
          <w:rFonts w:ascii="Times New Roman;serif" w:hAnsi="Times New Roman;serif"/>
          <w:b w:val="false"/>
          <w:i/>
          <w:color w:val="000000"/>
          <w:sz w:val="20"/>
        </w:rPr>
        <w:t>Our common stock is subordinated to our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Unfavorable global political or economic conditions could adversely affect our business, financial condition or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adversely affected by general conditions in the global political system,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the imposition of tariffs and other trade barriers, uncertainty about economic stability, and rising political uncertainty.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Further deterioration in credit and financial markets and confidence in economic conditions may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United States, the EU or Russia (e.g., potential cyberattacks, disruption of energy flows, etc.), which could adversely affect our business and/or our supply chain, our CROs, CMOs and other third parties with which we conduct business. The changes arising from a new presidential administration in the United States and the prospect of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leadership and reductions in the workforce or other resources in key administrative agencies (such as the FDA and SEC) as well as volatile political conditions in other countries in which we do business could also create additional uncertainty for our industry and our business, including in ways that we cannot foresee. Any of the foregoing could harm our business and we cannot anticipate all of the ways in which the current economic climate and financial market conditions could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 interruptions could adversely affect our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are vulnerable to interruption by fire, severe weather conditions, power loss, telecommunications failure, terrorist activity, public health crises and pandemic diseases, and other natural and man-made disasters or events beyond our control. Our facilities and employees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incurred and will continue to incur substantial costs as a result of operating as a public company, our management will continue to devote substantial time to existing and new compliance initiatives and corporate governance policies, and we will need to hire additional qualified accounting, financial, legal and compliance personnel with appropriate public company experience.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and retain additional accounting, financial, legal and compliance personnel with appropriate public company experience and technical accounting and securities laws knowledge. Even if we are able to hire appropriate personnel, our existing operating expenses and operations will be impacted by the direct costs of their employment and the indirect consequences related to the diversion of management resources from product development and commercialization efforts. Moreover, these rules and regulations will continue to increase our legal and financial compliance costs and make some activities more time consuming and costly.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in the future fail to maintain an effective system of internal control over financial reporting. This may prevent us from accurately reporting our financial results or preventing fraud. As a result, stockholders could lose confidence in our financial and other public reporting, which would harm our business and the trading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previously identified a material weakness in internal control related to ineffective information technology general controls, or ITGCs, in the areas of user access and program change management over our key accounting and reporting information technology, or IT, system. As a result, the related business process controls (specifically, the IT application controls and IT-dependent manual controls) that are dependent on the ineffective ITGCs, or that use data produced from the system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designed and implemented new controls and measures to remediate this material weakness, and management has concluded that the material weaknesses described above have been remediated. However, we cannot assure you that the measures we are taking will be sufficient to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which could diminish investor confidence and cause a decline in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increasing focus on environmental sustainability and social initiatives could increase our costs, harm our reputation and adversely impact our financial results.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has been increasing public focus by investors, customers, environmental activists, the media and governmental and nongovernmental organizations on a variety of environmental, social and other sustainability matters. If we are not effective in addressing environmental, social and other sustainability matters affecting our business, or setting and meeting relevant sustainability goals, our reputation and financial results may suffer. We have undertaken certain initiatives, including disclosures, to improve the sustainability profile of our products and/or operations and respond to stakeholder expectations; however, such initiatives may be costly and may not have the desired effect. For example, sustainability-related initiatives are often based on methodologies, standards, or data that are still evolving and subject to varying interpretations. Our approach is also expected to evolve with time and may not align with the expectations or interpretations of any particular stakeholder. In addition, this emphasis on environmental, social and other sustainability matters has resulted and may result in the adoption of new laws and regulations, including new reporting requirements. Such requirements and other expectations are not uniform, and may be inconsistently interpreted or applied, which can increase the complexity and cost of compliance. Simultaneously, there are efforts by some stakeholders to reduce companies’ efforts on certain environmental, social and sustainability-related initiatives. Both advocates and opponents of these matters are increasingly resorting to a range of activism forms, including media campaigns and litigation, to advance their perspectives. Any failure to successfully navigate stakeholder expectations may result in additional costs, reputational harm, or other adverse impacts to our business. Additionally, many of our business partners and suppliers may be subject to similar reporting and stakeholder expectations, which may augment or create additional risks, including risks that may not be known to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Short sellers of our stock may be manipulative and may drive down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We may face further short sellers’ efforts or similar tactics in the future, and the market price of our common stock may decline as a result of their 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Use of Proceeds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Purchases of Equity Securities by the Issuer and Affiliated Purchasers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(a)Disclosure in lieu of reporting on a Current Report on Form 8-K.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(b)Material changes to the procedures by which security holders may recommend nominees to the board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(c)Insider Trading Arrangements and Policies.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9"/>
        <w:gridCol w:w="260"/>
        <w:gridCol w:w="109"/>
        <w:gridCol w:w="109"/>
        <w:gridCol w:w="109"/>
        <w:gridCol w:w="2044"/>
        <w:gridCol w:w="2030"/>
        <w:gridCol w:w="1882"/>
        <w:gridCol w:w="109"/>
        <w:gridCol w:w="109"/>
        <w:gridCol w:w="109"/>
        <w:gridCol w:w="206"/>
        <w:gridCol w:w="206"/>
        <w:gridCol w:w="210"/>
        <w:gridCol w:w="118"/>
        <w:gridCol w:w="118"/>
        <w:gridCol w:w="118"/>
        <w:gridCol w:w="215"/>
        <w:gridCol w:w="215"/>
        <w:gridCol w:w="220"/>
        <w:gridCol w:w="118"/>
        <w:gridCol w:w="118"/>
        <w:gridCol w:w="118"/>
        <w:gridCol w:w="233"/>
        <w:gridCol w:w="233"/>
        <w:gridCol w:w="336"/>
      </w:tblGrid>
      <w:tr>
        <w:trPr/>
        <w:tc>
          <w:tcPr>
            <w:tcW w:w="2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r>
      <w:tr>
        <w:trPr/>
        <w:tc>
          <w:tcPr>
            <w:tcW w:w="81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rPr>
                <w:t>Amended and Restated Certificate of Incorporation of Rhythm Pharmaceuticals, Inc. dated October 10, 2017, and the Certificate of Amendment to the Amended and Restated Certificate of Incorporation of Rhythm Pharmaceuticals, Inc. dated June 25,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06/26/2025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12/18/2023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rPr>
                <w:t>Certificate of Designations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04/16/2024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rPr>
                <w:t>Amended and Restated Certificate of Designations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05/07/2024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80"/>
                  <w:sz w:val="20"/>
                </w:rPr>
                <w:t>F</w:t>
              </w:r>
            </w:hyperlink>
            <w:hyperlink r:id="rId7">
              <w:r>
                <w:rPr>
                  <w:rStyle w:val="InternetLink"/>
                  <w:rFonts w:ascii="Times New Roman;serif" w:hAnsi="Times New Roman;serif"/>
                  <w:b w:val="false"/>
                  <w:color w:val="000080"/>
                  <w:sz w:val="20"/>
                </w:rPr>
                <w:t>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S-3ASR</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331xexx101dcpdir.htm">
              <w:r>
                <w:rPr>
                  <w:rStyle w:val="InternetLink"/>
                  <w:rFonts w:ascii="Times New Roman;serif" w:hAnsi="Times New Roman;serif"/>
                  <w:b w:val="false"/>
                  <w:color w:val="000080"/>
                  <w:sz w:val="20"/>
                </w:rPr>
                <w:t xml:space="preserve">Rhythm Pharmaceuticals, Inc. </w:t>
              </w:r>
            </w:hyperlink>
            <w:hyperlink w:anchor="rytm-20260331xexx101dcpdir.htm">
              <w:r>
                <w:rPr>
                  <w:rStyle w:val="InternetLink"/>
                  <w:rFonts w:ascii="Times New Roman;serif" w:hAnsi="Times New Roman;serif"/>
                  <w:b w:val="false"/>
                  <w:color w:val="000080"/>
                  <w:sz w:val="20"/>
                </w:rPr>
                <w:t>Deferred Compensation P</w:t>
              </w:r>
            </w:hyperlink>
            <w:hyperlink w:anchor="rytm-20260331xexx101dcpdir.htm">
              <w:r>
                <w:rPr>
                  <w:rStyle w:val="InternetLink"/>
                  <w:rFonts w:ascii="Times New Roman;serif" w:hAnsi="Times New Roman;serif"/>
                  <w:b w:val="false"/>
                  <w:color w:val="000080"/>
                  <w:sz w:val="20"/>
                </w:rPr>
                <w:t>lan</w:t>
              </w:r>
            </w:hyperlink>
            <w:hyperlink w:anchor="rytm-20260331xexx101dcpdir.htm">
              <w:r>
                <w:rPr>
                  <w:rStyle w:val="InternetLink"/>
                  <w:rFonts w:ascii="Times New Roman;serif" w:hAnsi="Times New Roman;serif"/>
                  <w:b w:val="false"/>
                  <w:color w:val="000080"/>
                  <w:sz w:val="20"/>
                </w:rPr>
                <w:t xml:space="preserve">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331xexx311.htm">
              <w:r>
                <w:rPr>
                  <w:rStyle w:val="InternetLink"/>
                  <w:rFonts w:ascii="Times New Roman;serif" w:hAnsi="Times New Roman;serif"/>
                  <w:b w:val="false"/>
                  <w:color w:val="0000FF"/>
                  <w:sz w:val="20"/>
                </w:rPr>
                <w:t>Certification of the Principal Executive Officer, as required by Section 302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331xexx312.htm">
              <w:r>
                <w:rPr>
                  <w:rStyle w:val="InternetLink"/>
                  <w:rFonts w:ascii="Times New Roman;serif" w:hAnsi="Times New Roman;serif"/>
                  <w:b w:val="false"/>
                  <w:color w:val="0000FF"/>
                  <w:sz w:val="20"/>
                </w:rPr>
                <w:t>Certification of the Principal Financial Officer, as required by Section 302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331xexx321.htm">
              <w:r>
                <w:rPr>
                  <w:rStyle w:val="InternetLink"/>
                  <w:rFonts w:ascii="Times New Roman;serif" w:hAnsi="Times New Roman;serif"/>
                  <w:b w:val="false"/>
                  <w:color w:val="0000FF"/>
                  <w:sz w:val="20"/>
                </w:rPr>
                <w:t>Certification of the Principal Executive Officer, as required by Section 906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331xexx322.htm">
              <w:r>
                <w:rPr>
                  <w:rStyle w:val="InternetLink"/>
                  <w:rFonts w:ascii="Times New Roman;serif" w:hAnsi="Times New Roman;serif"/>
                  <w:b w:val="false"/>
                  <w:color w:val="0000FF"/>
                  <w:sz w:val="20"/>
                </w:rPr>
                <w:t>Certification of the Principal Financial Officer, as required by Section 906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240"/>
        <w:jc w:val="left"/>
        <w:rPr/>
      </w:pPr>
      <w:hyperlink w:anchor="i2f2fd39e628547d5a2514d81751497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42" w:type="dxa"/>
        <w:jc w:val="left"/>
        <w:tblInd w:w="0" w:type="dxa"/>
        <w:tblLayout w:type="fixed"/>
        <w:tblCellMar>
          <w:top w:w="28" w:type="dxa"/>
          <w:left w:w="28" w:type="dxa"/>
          <w:bottom w:w="28" w:type="dxa"/>
          <w:right w:w="28" w:type="dxa"/>
        </w:tblCellMar>
      </w:tblPr>
      <w:tblGrid>
        <w:gridCol w:w="629"/>
        <w:gridCol w:w="553"/>
        <w:gridCol w:w="558"/>
        <w:gridCol w:w="551"/>
        <w:gridCol w:w="551"/>
        <w:gridCol w:w="551"/>
        <w:gridCol w:w="1096"/>
        <w:gridCol w:w="1096"/>
        <w:gridCol w:w="155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RHYTHM PHARMACEUTICALS,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1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Meeker, M.D.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P. Meeker, M.D.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President and Chief Executive Officer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1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Hunter C. Smith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Hunter C. Smith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Treasurer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993300"/>
          <w:sz w:val="36"/>
        </w:rPr>
      </w:pPr>
      <w:r>
        <w:rPr>
          <w:rFonts w:ascii="Times New Roman;serif" w:hAnsi="Times New Roman;serif"/>
          <w:b w:val="false"/>
          <w:color w:val="993300"/>
          <w:sz w:val="36"/>
        </w:rPr>
        <w:t xml:space="preserve">Rhythm Pharmaceuticals, Inc. </w:t>
      </w:r>
    </w:p>
    <w:p>
      <w:pPr>
        <w:pStyle w:val="TextBody"/>
        <w:bidi w:val="0"/>
        <w:spacing w:lineRule="auto" w:line="288" w:before="0" w:after="0"/>
        <w:jc w:val="center"/>
        <w:rPr>
          <w:rFonts w:ascii="Times New Roman;serif" w:hAnsi="Times New Roman;serif"/>
          <w:b w:val="false"/>
          <w:color w:val="993300"/>
          <w:sz w:val="36"/>
        </w:rPr>
      </w:pPr>
      <w:r>
        <w:rPr>
          <w:rFonts w:ascii="Times New Roman;serif" w:hAnsi="Times New Roman;serif"/>
          <w:b w:val="false"/>
          <w:color w:val="993300"/>
          <w:sz w:val="36"/>
        </w:rPr>
        <w:t>Deferred Compensation Plan (Directors)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Effective Date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903033"/>
          <w:sz w:val="28"/>
        </w:rPr>
      </w:pPr>
      <w:r>
        <w:rPr>
          <w:rFonts w:ascii="Times New Roman;serif" w:hAnsi="Times New Roman;serif"/>
          <w:b/>
          <w:color w:val="903033"/>
          <w:sz w:val="28"/>
        </w:rPr>
        <w:t xml:space="preserve">Table of Contents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Establishment and Purpose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 xml:space="preserve">Article II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Definitions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III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Eligibility and Participation    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IV</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Deferrals    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Payments from Accounts    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Valuation of Account Balances; Investments    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VII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Administration    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VIII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Amendment and Termination    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IX</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Informal Funding    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X</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Claims    16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XI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General Provisions    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Establishment and Purpose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Rhythm Pharmaceuticals, Inc. (the “Company”) has adopted this Rhythm Pharmaceuticals, Inc. Deferred Compensation Plan (Directors), applicable to Compensation deferred under Compensation Deferral Agreements submitted on and after the Effective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purpose of the Plan is to attract and retain Directors by providing them with an opportunity to defer receipt of a portion of their director fees and equity awards. The Plan is intended to meet the requirements of Code Section 409A and shall be operated and interpreted consistent with that intent.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Plan constitutes an unsecured promise by the Company to pay benefits in the future. Participants in the Plan shall have the status of general unsecured creditors of the Company. The Company shall be solely responsible for payment of the benefits attributable to services performed by Directors. The Plan is unfunded for Federal tax purposes. Any amounts set aside to defray the liabilities assumed by the Company will remain the general assets of the Company and shall remain subject to the claims of the Company’s creditors until such amounts are distributed to the Participants.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II</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Definitions</w:t>
      </w:r>
    </w:p>
    <w:p>
      <w:pPr>
        <w:pStyle w:val="TextBody"/>
        <w:bidi w:val="0"/>
        <w:spacing w:lineRule="auto" w:line="288" w:before="0" w:after="0"/>
        <w:ind w:left="0" w:right="0" w:hanging="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Account.</w:t>
      </w:r>
      <w:r>
        <w:rPr>
          <w:color w:val="000000"/>
        </w:rPr>
        <w:t xml:space="preserve"> </w:t>
      </w:r>
      <w:r>
        <w:rPr>
          <w:rFonts w:ascii="Times New Roman;serif" w:hAnsi="Times New Roman;serif"/>
          <w:b w:val="false"/>
          <w:color w:val="000000"/>
          <w:sz w:val="24"/>
        </w:rPr>
        <w:t>Account means a bookkeeping account maintained by the Committee to record the payment obligation of the Company to a Participant as determined under the terms of the Plan. The Committee may maintain an Account to record the total obligation to a Participant and component Accounts to reflect amounts payable at different times and in different forms. Subaccounts may be maintained for the purpose of tracking amounts subject to different vesting schedules. Reference to an Account means any such Account established by the Committee, as the context requires.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Account Balance.</w:t>
      </w:r>
      <w:r>
        <w:rPr>
          <w:color w:val="000000"/>
        </w:rPr>
        <w:t xml:space="preserve"> </w:t>
      </w:r>
      <w:r>
        <w:rPr>
          <w:rFonts w:ascii="Times New Roman;serif" w:hAnsi="Times New Roman;serif"/>
          <w:b w:val="false"/>
          <w:color w:val="000000"/>
          <w:sz w:val="24"/>
        </w:rPr>
        <w:t>Account Balance means, with respect to any Account, the total payment obligation owed to a Participant from such Account as of the most recent Valuation Date.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2.4    </w:t>
      </w:r>
      <w:r>
        <w:rPr>
          <w:rFonts w:ascii="Times New Roman;serif" w:hAnsi="Times New Roman;serif"/>
          <w:b w:val="false"/>
          <w:color w:val="000000"/>
          <w:sz w:val="24"/>
          <w:u w:val="single"/>
        </w:rPr>
        <w:t>Beneficiary.</w:t>
      </w:r>
      <w:r>
        <w:rPr>
          <w:color w:val="000000"/>
        </w:rPr>
        <w:t xml:space="preserve"> </w:t>
      </w:r>
      <w:r>
        <w:rPr>
          <w:rFonts w:ascii="Times New Roman;serif" w:hAnsi="Times New Roman;serif"/>
          <w:b w:val="false"/>
          <w:color w:val="000000"/>
          <w:sz w:val="24"/>
        </w:rPr>
        <w:t>Beneficiary means a natural person, estate, or trust designated by a Participant in accordance with Section 5.4 hereof to receive payments to which a Beneficiary is entitled in accordance with provisions of the Plan.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2.5    </w:t>
      </w:r>
      <w:r>
        <w:rPr>
          <w:rFonts w:ascii="Times New Roman;serif" w:hAnsi="Times New Roman;serif"/>
          <w:b w:val="false"/>
          <w:color w:val="000000"/>
          <w:sz w:val="24"/>
          <w:u w:val="single"/>
        </w:rPr>
        <w:t>Board of Directors</w:t>
      </w:r>
      <w:r>
        <w:rPr>
          <w:rFonts w:ascii="Times New Roman;serif" w:hAnsi="Times New Roman;serif"/>
          <w:b w:val="false"/>
          <w:color w:val="000000"/>
          <w:sz w:val="24"/>
        </w:rPr>
        <w:t>. Board of Directors means the Company’s board of directors.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2.6    </w:t>
      </w:r>
      <w:r>
        <w:rPr>
          <w:rFonts w:ascii="Times New Roman;serif" w:hAnsi="Times New Roman;serif"/>
          <w:b w:val="false"/>
          <w:color w:val="000000"/>
          <w:sz w:val="24"/>
          <w:u w:val="single"/>
        </w:rPr>
        <w:t>Business Day</w:t>
      </w:r>
      <w:r>
        <w:rPr>
          <w:rFonts w:ascii="Times New Roman;serif" w:hAnsi="Times New Roman;serif"/>
          <w:b w:val="false"/>
          <w:color w:val="000000"/>
          <w:sz w:val="24"/>
        </w:rPr>
        <w:t>. Business Day means each day on which the NASDAQ Stock Market is open for business.</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2.7    </w:t>
      </w:r>
      <w:r>
        <w:rPr>
          <w:rFonts w:ascii="Times New Roman;serif" w:hAnsi="Times New Roman;serif"/>
          <w:b w:val="false"/>
          <w:color w:val="000000"/>
          <w:sz w:val="24"/>
          <w:u w:val="single"/>
        </w:rPr>
        <w:t>Claimant.</w:t>
      </w:r>
      <w:r>
        <w:rPr>
          <w:color w:val="000000"/>
        </w:rPr>
        <w:t xml:space="preserve"> </w:t>
      </w:r>
      <w:r>
        <w:rPr>
          <w:rFonts w:ascii="Times New Roman;serif" w:hAnsi="Times New Roman;serif"/>
          <w:b w:val="false"/>
          <w:color w:val="000000"/>
          <w:sz w:val="24"/>
        </w:rPr>
        <w:t>Claimant means a Participant or Beneficiary filing a claim under Article X of this Plan.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2.8    </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 xml:space="preserve">Code means the Internal Revenue Code of 1986, as amended from time to time.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2.9    </w:t>
      </w:r>
      <w:r>
        <w:rPr>
          <w:rFonts w:ascii="Times New Roman;serif" w:hAnsi="Times New Roman;serif"/>
          <w:b w:val="false"/>
          <w:color w:val="000000"/>
          <w:sz w:val="24"/>
          <w:u w:val="single"/>
        </w:rPr>
        <w:t>Code Section 409A.</w:t>
      </w:r>
      <w:r>
        <w:rPr>
          <w:color w:val="000000"/>
        </w:rPr>
        <w:t xml:space="preserve"> </w:t>
      </w:r>
      <w:r>
        <w:rPr>
          <w:rFonts w:ascii="Times New Roman;serif" w:hAnsi="Times New Roman;serif"/>
          <w:b w:val="false"/>
          <w:color w:val="000000"/>
          <w:sz w:val="24"/>
        </w:rPr>
        <w:t xml:space="preserve">Code Section 409A means section 409A of the Code, and regulations and other guidance issued by the Treasury Department and Internal Revenue Service thereunder.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2.10    </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 xml:space="preserve">Committee means the Company or a committee appointed by the Company to administer the Plan. Unless and until otherwise specified, the Committee under the Plan shall be the Compensation &amp; Management Development Committee of the Board, or its designee.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2.11    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Company means Rhythm Pharmaceuticals,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2.12    </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Compensation means a Participant’s director fees and awards of RSUs and/or PSUs. Compensation excludes any compensation that has been previously deferred under this Plan or any other arrangement subject to Code Section 409A.</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2.13    </w:t>
      </w:r>
      <w:r>
        <w:rPr>
          <w:rFonts w:ascii="Times New Roman;serif" w:hAnsi="Times New Roman;serif"/>
          <w:b w:val="false"/>
          <w:color w:val="000000"/>
          <w:sz w:val="24"/>
          <w:u w:val="single"/>
        </w:rPr>
        <w:t>Compensation Deferral Agreement.</w:t>
      </w:r>
      <w:r>
        <w:rPr>
          <w:color w:val="000000"/>
        </w:rPr>
        <w:t xml:space="preserve"> </w:t>
      </w:r>
      <w:r>
        <w:rPr>
          <w:rFonts w:ascii="Times New Roman;serif" w:hAnsi="Times New Roman;serif"/>
          <w:b w:val="false"/>
          <w:color w:val="000000"/>
          <w:sz w:val="24"/>
        </w:rPr>
        <w:t>Compensation Deferral Agreement means an agreement between a Participant and the Company that specifies: (i) the amount of each component of Compensation that the Participant has elected to defer to the Plan in accordance with the provisions of Article IV, (ii) the Payment Schedule applicable to one or more Flex Accounts, or any Separation Account or Specified Date Account holding RSUs or PSUs established under such Compensation Deferral Agreement and (iii) the allocation of cash Deferrals among the Participant’s established Accounts. For the avoidance of doubt, each deferred award of RSUs and PSUs is held in a dedicated Separation Account or Specified Date Account established under such Compensation Deferral Agreement.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2.14    </w:t>
      </w:r>
      <w:r>
        <w:rPr>
          <w:rFonts w:ascii="Times New Roman;serif" w:hAnsi="Times New Roman;serif"/>
          <w:b w:val="false"/>
          <w:color w:val="000000"/>
          <w:sz w:val="24"/>
          <w:u w:val="single"/>
        </w:rPr>
        <w:t>Deferral.</w:t>
      </w:r>
      <w:r>
        <w:rPr>
          <w:color w:val="000000"/>
        </w:rPr>
        <w:t xml:space="preserve"> </w:t>
      </w:r>
      <w:r>
        <w:rPr>
          <w:rFonts w:ascii="Times New Roman;serif" w:hAnsi="Times New Roman;serif"/>
          <w:b w:val="false"/>
          <w:color w:val="000000"/>
          <w:sz w:val="24"/>
        </w:rPr>
        <w:t>Deferral means a credit to a Participant’s Account(s) that records that portion of the Participant’s Compensation that the Participant has elected to defer to the Plan in accordance with the provisions of Article IV. Unless the context of the Plan clearly indicates otherwise, a reference to Deferrals includes Earnings attributable to such Deferrals.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2.15    </w:t>
      </w:r>
      <w:r>
        <w:rPr>
          <w:rFonts w:ascii="Times New Roman;serif" w:hAnsi="Times New Roman;serif"/>
          <w:b w:val="false"/>
          <w:color w:val="000000"/>
          <w:sz w:val="24"/>
          <w:u w:val="single"/>
        </w:rPr>
        <w:t>Director</w:t>
      </w:r>
      <w:r>
        <w:rPr>
          <w:rFonts w:ascii="Times New Roman;serif" w:hAnsi="Times New Roman;serif"/>
          <w:b w:val="false"/>
          <w:color w:val="000000"/>
          <w:sz w:val="24"/>
        </w:rPr>
        <w:t>. Director means a non-employee member of the Board of Directors.</w:t>
      </w:r>
    </w:p>
    <w:p>
      <w:pPr>
        <w:pStyle w:val="TextBody"/>
        <w:bidi w:val="0"/>
        <w:spacing w:lineRule="auto" w:line="288" w:before="0" w:after="0"/>
        <w:ind w:left="0" w:right="0" w:hanging="720"/>
        <w:jc w:val="left"/>
        <w:rPr/>
      </w:pPr>
      <w:r>
        <w:rPr>
          <w:rFonts w:ascii="Times New Roman;serif" w:hAnsi="Times New Roman;serif"/>
          <w:b w:val="false"/>
          <w:color w:val="000000"/>
          <w:sz w:val="24"/>
        </w:rPr>
        <w:t>2.16    </w:t>
      </w:r>
      <w:r>
        <w:rPr>
          <w:rFonts w:ascii="Times New Roman;serif" w:hAnsi="Times New Roman;serif"/>
          <w:b w:val="false"/>
          <w:color w:val="000000"/>
          <w:sz w:val="24"/>
          <w:u w:val="single"/>
        </w:rPr>
        <w:t>Earnings.</w:t>
      </w:r>
      <w:r>
        <w:rPr>
          <w:color w:val="000000"/>
        </w:rPr>
        <w:t xml:space="preserve"> </w:t>
      </w:r>
      <w:r>
        <w:rPr>
          <w:rFonts w:ascii="Times New Roman;serif" w:hAnsi="Times New Roman;serif"/>
          <w:b w:val="false"/>
          <w:color w:val="000000"/>
          <w:sz w:val="24"/>
        </w:rPr>
        <w:t>Earnings means an adjustment to the value of an Account in accordance with Article VI.</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2.17    </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Effective Date means May 1, 2026.</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2.18    </w:t>
      </w:r>
      <w:r>
        <w:rPr>
          <w:rFonts w:ascii="Times New Roman;serif" w:hAnsi="Times New Roman;serif"/>
          <w:b w:val="false"/>
          <w:color w:val="000000"/>
          <w:sz w:val="24"/>
          <w:u w:val="single"/>
        </w:rPr>
        <w:t>Equity Plan</w:t>
      </w:r>
      <w:r>
        <w:rPr>
          <w:rFonts w:ascii="Times New Roman;serif" w:hAnsi="Times New Roman;serif"/>
          <w:b w:val="false"/>
          <w:color w:val="000000"/>
          <w:sz w:val="24"/>
        </w:rPr>
        <w:t>. Equity Plan means the Company’s 2017 Equity Incentive Plan, as it may be amended or restated from time to time, or, to the extent applicable, any similar future or successor equity compensation plan of the Company.</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2.19    </w:t>
      </w:r>
      <w:r>
        <w:rPr>
          <w:rFonts w:ascii="Times New Roman;serif" w:hAnsi="Times New Roman;serif"/>
          <w:b w:val="false"/>
          <w:color w:val="000000"/>
          <w:sz w:val="24"/>
          <w:u w:val="single"/>
        </w:rPr>
        <w:t>Flex Account</w:t>
      </w:r>
      <w:r>
        <w:rPr>
          <w:rFonts w:ascii="Times New Roman;serif" w:hAnsi="Times New Roman;serif"/>
          <w:b w:val="false"/>
          <w:color w:val="000000"/>
          <w:sz w:val="24"/>
        </w:rPr>
        <w:t>. Flex Account means a Separation Account or Specified Date Account established under the terms of a Participant’s Compensation Deferral Agreement for the purpose of recording a Participant’s cash Deferrals. Unless the Committee specifies otherwise during an applicable enrollment, a Participant may maintain no more than five (5) Flex Accounts for cash Deferrals at any one time.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2.20    </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Participant means an individual described in Article III.</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2.21    </w:t>
      </w:r>
      <w:r>
        <w:rPr>
          <w:rFonts w:ascii="Times New Roman;serif" w:hAnsi="Times New Roman;serif"/>
          <w:b w:val="false"/>
          <w:color w:val="000000"/>
          <w:sz w:val="24"/>
          <w:u w:val="single"/>
        </w:rPr>
        <w:t>Payment Schedule.</w:t>
      </w:r>
      <w:r>
        <w:rPr>
          <w:color w:val="000000"/>
        </w:rPr>
        <w:t xml:space="preserve"> </w:t>
      </w:r>
      <w:r>
        <w:rPr>
          <w:rFonts w:ascii="Times New Roman;serif" w:hAnsi="Times New Roman;serif"/>
          <w:b w:val="false"/>
          <w:color w:val="000000"/>
          <w:sz w:val="24"/>
        </w:rPr>
        <w:t>Payment Schedule means the calendar year when payment of an Account will commence and the form in which payment of such Account will be made, as provided in Article V.</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2.22    </w:t>
      </w:r>
      <w:r>
        <w:rPr>
          <w:rFonts w:ascii="Times New Roman;serif" w:hAnsi="Times New Roman;serif"/>
          <w:b w:val="false"/>
          <w:color w:val="000000"/>
          <w:sz w:val="24"/>
          <w:u w:val="single"/>
        </w:rPr>
        <w:t>Performance-Based Compensation.</w:t>
      </w:r>
      <w:r>
        <w:rPr>
          <w:color w:val="000000"/>
        </w:rPr>
        <w:t xml:space="preserve"> </w:t>
      </w:r>
      <w:r>
        <w:rPr>
          <w:rFonts w:ascii="Times New Roman;serif" w:hAnsi="Times New Roman;serif"/>
          <w:b w:val="false"/>
          <w:color w:val="000000"/>
          <w:sz w:val="24"/>
        </w:rPr>
        <w:t>Performance-Based Compensation means Compensation that meets the requirements of performance-based compensation specified in Code Section 409A(a)(4)(B)(iii). Performance-Based Compensation shall be designated as such by the Company, and the amount of, or entitlement to, the Compensation shall be contingent on the satisfaction of pre-established organizational or individual performance criteria relating to a performance period of at least 12 consecutive months, provided that the Participant performed services continuously from a date no later than the date upon which the performance criteria are established through a date no earlier than the date upon which the Participant makes an initial deferral election.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The determination of whether the Compensation qualifies as Performance-Based Compensation shall be made in accordance with Treas. Reg. Section 1.409A-1(e).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2.23    </w:t>
      </w:r>
      <w:r>
        <w:rPr>
          <w:rFonts w:ascii="Times New Roman;serif" w:hAnsi="Times New Roman;serif"/>
          <w:b w:val="false"/>
          <w:color w:val="000000"/>
          <w:sz w:val="24"/>
          <w:u w:val="single"/>
        </w:rPr>
        <w:t>Plan</w:t>
      </w:r>
      <w:r>
        <w:rPr>
          <w:rFonts w:ascii="Times New Roman;serif" w:hAnsi="Times New Roman;serif"/>
          <w:b w:val="false"/>
          <w:color w:val="000000"/>
          <w:sz w:val="24"/>
        </w:rPr>
        <w:t xml:space="preserve">. Plan means the “Rhythm Pharmaceuticals, Inc. Deferred Compensation Plan (Directors)” as documented herein and as may be amended from time to time hereafter. However, to the extent permitted or required under Code Section 409A, the term Plan may in the appropriate context also mean a portion of the Plan that is treated as a single plan under Treas. Reg. Section 1.409A-1(c), or the Plan or portion of the Plan and any other nonqualified deferred compensation plan or portion thereof that is treated as a single plan under such section.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2.24    </w:t>
      </w:r>
      <w:r>
        <w:rPr>
          <w:rFonts w:ascii="Times New Roman;serif" w:hAnsi="Times New Roman;serif"/>
          <w:b w:val="false"/>
          <w:color w:val="000000"/>
          <w:sz w:val="24"/>
          <w:u w:val="single"/>
        </w:rPr>
        <w:t>Plan Year.</w:t>
      </w:r>
      <w:r>
        <w:rPr>
          <w:color w:val="000000"/>
        </w:rPr>
        <w:t xml:space="preserve"> </w:t>
      </w:r>
      <w:r>
        <w:rPr>
          <w:rFonts w:ascii="Times New Roman;serif" w:hAnsi="Times New Roman;serif"/>
          <w:b w:val="false"/>
          <w:color w:val="000000"/>
          <w:sz w:val="24"/>
        </w:rPr>
        <w:t>Plan Year means January 1 through December 31.</w:t>
      </w:r>
    </w:p>
    <w:p>
      <w:pPr>
        <w:pStyle w:val="TextBody"/>
        <w:bidi w:val="0"/>
        <w:spacing w:before="0" w:after="0"/>
        <w:ind w:left="0" w:right="0" w:hanging="72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2.25    </w:t>
      </w:r>
      <w:r>
        <w:rPr>
          <w:rFonts w:ascii="Times New Roman;serif" w:hAnsi="Times New Roman;serif"/>
          <w:b w:val="false"/>
          <w:color w:val="000000"/>
          <w:sz w:val="24"/>
          <w:u w:val="single"/>
        </w:rPr>
        <w:t>PSU.</w:t>
      </w:r>
      <w:r>
        <w:rPr>
          <w:color w:val="000000"/>
        </w:rPr>
        <w:t xml:space="preserve"> </w:t>
      </w:r>
      <w:r>
        <w:rPr>
          <w:rFonts w:ascii="Times New Roman;serif" w:hAnsi="Times New Roman;serif"/>
          <w:b w:val="false"/>
          <w:color w:val="000000"/>
          <w:sz w:val="24"/>
        </w:rPr>
        <w:t>PSU means a grant of performance units awarded under the Company’s Equity Plan that constitute Performance-Based Compensation.</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3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3 of 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2.26    </w:t>
      </w:r>
      <w:r>
        <w:rPr>
          <w:rFonts w:ascii="Times New Roman;serif" w:hAnsi="Times New Roman;serif"/>
          <w:b w:val="false"/>
          <w:color w:val="000000"/>
          <w:sz w:val="24"/>
          <w:u w:val="single"/>
        </w:rPr>
        <w:t>RSU.</w:t>
      </w:r>
      <w:r>
        <w:rPr>
          <w:color w:val="000000"/>
        </w:rPr>
        <w:t xml:space="preserve"> </w:t>
      </w:r>
      <w:r>
        <w:rPr>
          <w:rFonts w:ascii="Times New Roman;serif" w:hAnsi="Times New Roman;serif"/>
          <w:b w:val="false"/>
          <w:color w:val="000000"/>
          <w:sz w:val="24"/>
        </w:rPr>
        <w:t>RSU means a grant of restricted stock units awarded under the Company’s Equity Plan that are not Performance-Based Compensation.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2.27    </w:t>
      </w:r>
      <w:r>
        <w:rPr>
          <w:rFonts w:ascii="Times New Roman;serif" w:hAnsi="Times New Roman;serif"/>
          <w:b w:val="false"/>
          <w:color w:val="000000"/>
          <w:sz w:val="24"/>
          <w:u w:val="single"/>
        </w:rPr>
        <w:t>Separation Account</w:t>
      </w:r>
      <w:r>
        <w:rPr>
          <w:rFonts w:ascii="Times New Roman;serif" w:hAnsi="Times New Roman;serif"/>
          <w:b w:val="false"/>
          <w:color w:val="000000"/>
          <w:sz w:val="24"/>
        </w:rPr>
        <w:t>. Separation Account means an Account established by the Committee in accordance with a Participant’s Compensation Deferral Agreement to record Deferrals allocated to such Account by the Participant and which are payable upon the Participant’s Separation from Service as set forth in Section 5.3. Each award of a PSU or RSU deferred under this Plan, in whole or in part, to be paid following a Participant’s Separation from Service shall be held in a separate, dedicated Separation Account.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2.28    </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Separation from Service means a Participant’s “separation from service” as defined in Treas. Reg. Section 1.409A-1(h) with respect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purposes of determining whether a Separation from Service has occurred, the Service Recipient means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Committee specifically reserves the right to determine whether a Participant has had a Separation from Service, including whether a sale or other disposition of substantial assets to an unrelated party constitutes a Separation from Service with respect to a Participant providing services to the seller immediately prior to the transaction and providing services to the buyer after the transaction.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2.28    </w:t>
      </w:r>
      <w:r>
        <w:rPr>
          <w:rFonts w:ascii="Times New Roman;serif" w:hAnsi="Times New Roman;serif"/>
          <w:b w:val="false"/>
          <w:color w:val="000000"/>
          <w:sz w:val="24"/>
          <w:u w:val="single"/>
        </w:rPr>
        <w:t>Specified Date Account.</w:t>
      </w:r>
      <w:r>
        <w:rPr>
          <w:color w:val="000000"/>
        </w:rPr>
        <w:t xml:space="preserve"> </w:t>
      </w:r>
      <w:r>
        <w:rPr>
          <w:rFonts w:ascii="Times New Roman;serif" w:hAnsi="Times New Roman;serif"/>
          <w:b w:val="false"/>
          <w:color w:val="000000"/>
          <w:sz w:val="24"/>
        </w:rPr>
        <w:t>Specified Date Account means an Account established by the Committee to record the amounts payable in a future calendar year as specified in the Participant’s Compensation Deferral Agreement. Each award of a PSU or RSU deferred under this Plan, in whole or in part, to be paid in a designated future year shall be held in a separate, dedicated Specified Date Account.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2.29    </w:t>
      </w:r>
      <w:r>
        <w:rPr>
          <w:rFonts w:ascii="Times New Roman;serif" w:hAnsi="Times New Roman;serif"/>
          <w:b w:val="false"/>
          <w:color w:val="000000"/>
          <w:sz w:val="24"/>
          <w:u w:val="single"/>
        </w:rPr>
        <w:t>Substantial Risk of Forfeiture.</w:t>
      </w:r>
      <w:r>
        <w:rPr>
          <w:color w:val="000000"/>
        </w:rPr>
        <w:t xml:space="preserve"> </w:t>
      </w:r>
      <w:r>
        <w:rPr>
          <w:rFonts w:ascii="Times New Roman;serif" w:hAnsi="Times New Roman;serif"/>
          <w:b w:val="false"/>
          <w:color w:val="000000"/>
          <w:sz w:val="24"/>
        </w:rPr>
        <w:t>Substantial Risk of Forfeiture has the meaning specified in Treas. Reg. Section 1.409A-1(d).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2.30    </w:t>
      </w:r>
      <w:r>
        <w:rPr>
          <w:rFonts w:ascii="Times New Roman;serif" w:hAnsi="Times New Roman;serif"/>
          <w:b w:val="false"/>
          <w:color w:val="000000"/>
          <w:sz w:val="24"/>
          <w:u w:val="single"/>
        </w:rPr>
        <w:t>Unforeseeable Emergency.</w:t>
      </w:r>
      <w:r>
        <w:rPr>
          <w:color w:val="000000"/>
        </w:rPr>
        <w:t xml:space="preserve"> </w:t>
      </w:r>
      <w:r>
        <w:rPr>
          <w:rFonts w:ascii="Times New Roman;serif" w:hAnsi="Times New Roman;serif"/>
          <w:b w:val="false"/>
          <w:color w:val="000000"/>
          <w:sz w:val="24"/>
        </w:rPr>
        <w:t>Unforeseeable Emergency means a severe financial hardship to the Participant resulting from an illness or accident of the Participant, the Participant’s spouse, the Participant’s dependent (as defined in Code Section 152, without regard to Section 152(b)(1), (b)(2), and (d)(1)(B)), or a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 In all events, the existence of an “Unforeseeable Emergency” shall be determined by the Committee in accordance with the requirements of Code Section 409A.</w:t>
      </w:r>
    </w:p>
    <w:p>
      <w:pPr>
        <w:pStyle w:val="TextBody"/>
        <w:bidi w:val="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4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4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2.30    </w:t>
      </w:r>
      <w:r>
        <w:rPr>
          <w:rFonts w:ascii="Times New Roman;serif" w:hAnsi="Times New Roman;serif"/>
          <w:b w:val="false"/>
          <w:color w:val="000000"/>
          <w:sz w:val="24"/>
          <w:u w:val="single"/>
        </w:rPr>
        <w:t>Valuation Date.</w:t>
      </w:r>
      <w:r>
        <w:rPr>
          <w:color w:val="000000"/>
        </w:rPr>
        <w:t xml:space="preserve"> </w:t>
      </w:r>
      <w:r>
        <w:rPr>
          <w:rFonts w:ascii="Times New Roman;serif" w:hAnsi="Times New Roman;serif"/>
          <w:b w:val="false"/>
          <w:color w:val="000000"/>
          <w:sz w:val="24"/>
        </w:rPr>
        <w:t>Valuation Date means each Business Day.</w:t>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III</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Eligibility and Participation</w:t>
      </w:r>
    </w:p>
    <w:p>
      <w:pPr>
        <w:pStyle w:val="TextBody"/>
        <w:bidi w:val="0"/>
        <w:spacing w:lineRule="auto" w:line="288" w:before="0" w:after="0"/>
        <w:ind w:left="0" w:right="0" w:hanging="720"/>
        <w:jc w:val="left"/>
        <w:rPr/>
      </w:pPr>
      <w:r>
        <w:rPr>
          <w:rFonts w:ascii="Times New Roman;serif" w:hAnsi="Times New Roman;serif"/>
          <w:b w:val="false"/>
          <w:color w:val="000000"/>
          <w:sz w:val="24"/>
        </w:rPr>
        <w:t>3.1    </w:t>
      </w:r>
      <w:r>
        <w:rPr>
          <w:rFonts w:ascii="Times New Roman;serif" w:hAnsi="Times New Roman;serif"/>
          <w:b w:val="false"/>
          <w:color w:val="000000"/>
          <w:sz w:val="24"/>
          <w:u w:val="single"/>
        </w:rPr>
        <w:t>Eligibility and Participation.</w:t>
      </w:r>
      <w:r>
        <w:rPr>
          <w:color w:val="000000"/>
        </w:rPr>
        <w:t xml:space="preserve"> </w:t>
      </w:r>
      <w:r>
        <w:rPr>
          <w:rFonts w:ascii="Times New Roman;serif" w:hAnsi="Times New Roman;serif"/>
          <w:b w:val="false"/>
          <w:color w:val="000000"/>
          <w:sz w:val="24"/>
        </w:rPr>
        <w:t>All Directors may enroll in the Plan. Directors become Participants on the date on which the first Compensation Deferral Agreement submitted by the Director becomes irrevocable under Article IV.</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3.2    </w:t>
      </w:r>
      <w:r>
        <w:rPr>
          <w:rFonts w:ascii="Times New Roman;serif" w:hAnsi="Times New Roman;serif"/>
          <w:b w:val="false"/>
          <w:color w:val="000000"/>
          <w:sz w:val="24"/>
          <w:u w:val="single"/>
        </w:rPr>
        <w:t>Duration.</w:t>
      </w:r>
      <w:r>
        <w:rPr>
          <w:color w:val="000000"/>
        </w:rPr>
        <w:t xml:space="preserve"> </w:t>
      </w:r>
      <w:r>
        <w:rPr>
          <w:rFonts w:ascii="Times New Roman;serif" w:hAnsi="Times New Roman;serif"/>
          <w:b w:val="false"/>
          <w:color w:val="000000"/>
          <w:sz w:val="24"/>
        </w:rPr>
        <w:t>A Director shall remain a Participant as long as his or her Account Balance is greater than zero (0). All Participants will continue to be credited with Earnings and during such time may continue to make allocation elections as provided in Section 6.4. An individual shall cease being a Participant in the Plan when all of the Participant’s Account Balances have been reduced to zero (0).</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color w:val="903033"/>
          <w:sz w:val="28"/>
        </w:rPr>
      </w:pPr>
      <w:r>
        <w:rPr>
          <w:rFonts w:ascii="Times New Roman;serif" w:hAnsi="Times New Roman;serif"/>
          <w:b/>
          <w:color w:val="903033"/>
          <w:sz w:val="28"/>
        </w:rPr>
        <w:t>Article IV</w:t>
      </w:r>
    </w:p>
    <w:p>
      <w:pPr>
        <w:pStyle w:val="TextBody"/>
        <w:bidi w:val="0"/>
        <w:spacing w:lineRule="auto" w:line="288" w:before="0" w:after="0"/>
        <w:jc w:val="left"/>
        <w:rPr>
          <w:rFonts w:ascii="Times New Roman;serif" w:hAnsi="Times New Roman;serif"/>
          <w:b w:val="false"/>
          <w:i/>
          <w:color w:val="903033"/>
          <w:sz w:val="24"/>
        </w:rPr>
      </w:pPr>
      <w:r>
        <w:rPr>
          <w:rFonts w:ascii="Times New Roman;serif" w:hAnsi="Times New Roman;serif"/>
          <w:b w:val="false"/>
          <w:i/>
          <w:color w:val="903033"/>
          <w:sz w:val="24"/>
        </w:rPr>
        <w:t>Deferrals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Deferral Elections, Generally.</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(a)A Director may make an initial election to defer Compensation by submitting a Compensation Deferral Agreement during the enrollment periods established by the Committee and in the manner specified by the Committee, but in any event, in accordance with Section 4.2. Unless an earlier date is specified in the Compensation Deferral Agreement, deferral elections with respect to a Compensation source become irrevocable on the latest date applicable to such Compensation source under Section 4.2.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(b)A Compensation Deferral Agreement that is not timely filed with respect to a service period or component of Compensation, that does not comply with Code Section 409A, or that is submitted by a Participant who has a Separation from Service prior to the latest date such agreement would become irrevocable under Code Section 409A, shall be considered null and void and shall not take effect with respect to such item of Compensation. The Committee may modify or revoke any Compensation Deferral Agreement prior to the date the election becomes irrevocable under the rules of Section 4.2.</w:t>
      </w:r>
    </w:p>
    <w:p>
      <w:pPr>
        <w:pStyle w:val="TextBody"/>
        <w:bidi w:val="0"/>
        <w:spacing w:before="0" w:after="0"/>
        <w:jc w:val="left"/>
        <w:rPr/>
      </w:pPr>
      <w:r>
        <w:rPr/>
      </w:r>
    </w:p>
    <w:p>
      <w:pPr>
        <w:pStyle w:val="TextBody"/>
        <w:bidi w:val="0"/>
        <w:spacing w:lineRule="auto" w:line="28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(c)The Committee may permit different deferral amounts for each component of Compensation and may establish a minimum or maximum deferral amount for each such component. Unless otherwise specified by the Committee in the Compensation Deferral Agreement, Participants may defer a minimum of five percent (5%) and a maximum of one hundred (100%) of their director fees and up to one hundred percent (100%) of RSUs and PSUs granted during the Plan Year.</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5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5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br/>
        <w:t>Deferrals of RSUs and PSUs, expressed as a percentage of an award, will be rounded down to the nearest whole stock unit.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(d)Deferrals of cash Compensation shall be calculated with respect to the gross cash Compensation payable to the Participant prior to any deductions or withholdings.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(e)The Director shall specify on his or her Compensation Deferral Agreement the amount of cash Deferrals and whether to allocate cash Deferrals to a Separation Account or to one or more Flex Accounts. If no designation is made, cash Deferrals shall be allocated to a Separation Account.</w:t>
        <w:br/>
        <w:br/>
        <w:t>Deferrals of RSUs or PSUs shall specify the amount to be deferred and an allocation to a dedicated Separation Account or Specified Date Account.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4.2    </w:t>
      </w:r>
      <w:r>
        <w:rPr>
          <w:rFonts w:ascii="Times New Roman;serif" w:hAnsi="Times New Roman;serif"/>
          <w:b w:val="false"/>
          <w:color w:val="000000"/>
          <w:sz w:val="24"/>
          <w:u w:val="single"/>
        </w:rPr>
        <w:t>Timing Requirements for Compensation Deferral Agreements.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(a)</w:t>
      </w:r>
      <w:r>
        <w:rPr>
          <w:color w:val="000000"/>
        </w:rPr>
        <w:t>    </w:t>
      </w:r>
      <w:r>
        <w:rPr>
          <w:rFonts w:ascii="Times New Roman;serif" w:hAnsi="Times New Roman;serif"/>
          <w:b w:val="false"/>
          <w:i/>
          <w:color w:val="000000"/>
          <w:sz w:val="24"/>
        </w:rPr>
        <w:t>Initial Eligibility.</w:t>
      </w:r>
      <w:r>
        <w:rPr>
          <w:color w:val="000000"/>
        </w:rPr>
        <w:t xml:space="preserve"> </w:t>
      </w:r>
      <w:r>
        <w:rPr>
          <w:rFonts w:ascii="Times New Roman;serif" w:hAnsi="Times New Roman;serif"/>
          <w:b w:val="false"/>
          <w:color w:val="000000"/>
          <w:sz w:val="24"/>
        </w:rPr>
        <w:t>The Committee may permit a Director to defer Compensation earned in the first year of eligibility. The Compensation Deferral Agreement must be filed within 30 days after the effective date of appointment or election as a Director and will become irrevocable upon such filing.</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A Compensation Deferral Agreement filed under this paragraph applies to Compensation earned after the date on which the Compensation Deferral Agreement becomes irrevocable. The determination of whether a Director may file a Compensation Deferral Agreement under this Section 4.2(a) shall be determined in accordance with the rules of Code Section 409A, including the provisions of Treas. Reg. Section 1.409A-2(a)(7).</w:t>
      </w:r>
    </w:p>
    <w:p>
      <w:pPr>
        <w:pStyle w:val="TextBody"/>
        <w:bidi w:val="0"/>
        <w:spacing w:lineRule="auto" w:line="288" w:before="0" w:after="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Prior Year Election.</w:t>
      </w:r>
      <w:r>
        <w:rPr>
          <w:color w:val="000000"/>
        </w:rPr>
        <w:t xml:space="preserve"> </w:t>
      </w:r>
      <w:r>
        <w:rPr>
          <w:rFonts w:ascii="Times New Roman;serif" w:hAnsi="Times New Roman;serif"/>
          <w:b w:val="false"/>
          <w:color w:val="000000"/>
          <w:sz w:val="24"/>
        </w:rPr>
        <w:t>Except as otherwise provided in this Section 4.2, the Committee may permit a Director to defer Compensation by filing a Compensation Deferral Agreement no later than December 31 of the year prior to the year in which the performance period related to such Compensation commences. A Compensation Deferral Agreement filed under this paragraph shall become irrevocable with respect to such Compensation not later than the December 31 filing deadline.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Performance-Based Compensation.</w:t>
      </w:r>
      <w:r>
        <w:rPr>
          <w:color w:val="000000"/>
        </w:rPr>
        <w:t xml:space="preserve"> </w:t>
      </w:r>
      <w:r>
        <w:rPr>
          <w:rFonts w:ascii="Times New Roman;serif" w:hAnsi="Times New Roman;serif"/>
          <w:b w:val="false"/>
          <w:color w:val="000000"/>
          <w:sz w:val="24"/>
        </w:rPr>
        <w:t>The Committee may permit a Director to defer Compensation which qualifies as Performance-Based Compensation by filing a Compensation Deferral Agreement no later than the date that is six months before the end of the applicable performance period, provided that:</w:t>
      </w:r>
    </w:p>
    <w:p>
      <w:pPr>
        <w:pStyle w:val="TextBody"/>
        <w:bidi w:val="0"/>
        <w:spacing w:before="0" w:after="0"/>
        <w:jc w:val="left"/>
        <w:rPr/>
      </w:pPr>
      <w:r>
        <w:rPr/>
      </w:r>
    </w:p>
    <w:p>
      <w:pPr>
        <w:pStyle w:val="TextBody"/>
        <w:bidi w:val="0"/>
        <w:spacing w:lineRule="auto" w:line="28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(i)the Participant performs services continuously from the later of the beginning of the performance period or the date the performance criteria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6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6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are established through the date the Compensation Deferral Agreement is submitted;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the Performance-Based Compensation is not readily ascertainable as of the date the Compensation Deferral Agreement is filed.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Compensation Deferral Agreement becomes irrevocable with respect to Performance-Based Compensation as of the day immediately following the latest date for filing such election in accordance with the foregoing requirements. Any election to defer Performance-Based Compensation that is made in accordance with this paragraph and that becomes payable as a result of the Participant’s death or disability (as defined in Treas. Reg. Section 1.409A-1(e)) or upon a change in control (as defined in Treas. Reg. Section 1.409A-3(i)(5)) prior to the satisfaction of the performance criteria, will be void unless it would be considered timely under another rule described in this Section.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(d)</w:t>
      </w:r>
      <w:r>
        <w:rPr>
          <w:rFonts w:ascii="Times New Roman;serif" w:hAnsi="Times New Roman;serif"/>
          <w:b w:val="false"/>
          <w:i/>
          <w:color w:val="000000"/>
          <w:sz w:val="24"/>
        </w:rPr>
        <w:t>Certain Forfeitable Rights.</w:t>
      </w:r>
      <w:r>
        <w:rPr>
          <w:color w:val="000000"/>
        </w:rPr>
        <w:t xml:space="preserve"> </w:t>
      </w:r>
      <w:r>
        <w:rPr>
          <w:rFonts w:ascii="Times New Roman;serif" w:hAnsi="Times New Roman;serif"/>
          <w:b w:val="false"/>
          <w:color w:val="000000"/>
          <w:sz w:val="24"/>
        </w:rPr>
        <w:t>With respect to a legally binding right to a payment in a subsequent year that is subject to a forfeiture condition requiring the Participant’s continued services for a period of at least 12 months from the date the Participant obtains the “legally binding right” (within the meaning of Code Section 409A) to such Compensation, the Committee may permit a Director to defer such Compensation by filing a Compensation Deferral Agreement on or before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legally binding right to the Compensation accrues, provided that the Compensation Deferral Agreement is submitted at least 12 months in advance of the earliest date on which the forfeiture condition could lapse. The Compensation Deferral Agreement described in this paragraph becomes irrevocable not later than such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If the forfeiture condition applicable to the payment lapses before the end of such 12-month period as a result of the Participant’s death or disability (as defined in Treas. Reg. Section 1.409A-3(i)(4)) or upon a change in control (as defined in Treas. Reg. Section 1.409A-3(i)(5)), the Compensation Deferral Agreement will be void unless it would be considered timely under another rule described in this Section.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(e)</w:t>
      </w:r>
      <w:r>
        <w:rPr>
          <w:rFonts w:ascii="Times New Roman;serif" w:hAnsi="Times New Roman;serif"/>
          <w:b w:val="false"/>
          <w:i/>
          <w:color w:val="000000"/>
          <w:sz w:val="24"/>
        </w:rPr>
        <w:t>Short-Term Deferrals.</w:t>
      </w:r>
      <w:r>
        <w:rPr>
          <w:color w:val="000000"/>
        </w:rPr>
        <w:t xml:space="preserve"> </w:t>
      </w:r>
      <w:r>
        <w:rPr>
          <w:rFonts w:ascii="Times New Roman;serif" w:hAnsi="Times New Roman;serif"/>
          <w:b w:val="false"/>
          <w:color w:val="000000"/>
          <w:sz w:val="24"/>
        </w:rPr>
        <w:t>The Committee may permit deferrals of previously-granted RSUs or PSUs that meet the definition of a “short-term deferral” described in Treas. Reg. Section 1.409A-1(b)(4) to be deferred in accordance with the rules of Section 5.9, applied as if the date the Substantial Risk of Forfeiture lapses is the date payments were originally scheduled to commence. A Compensation Deferral Agreement submitted in accordance with this paragraph becomes irrevocable on the latest date it could be submitted under Section 5.9.</w:t>
      </w:r>
    </w:p>
    <w:p>
      <w:pPr>
        <w:pStyle w:val="TextBody"/>
        <w:bidi w:val="0"/>
        <w:spacing w:before="0" w:after="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Evergreen” Deferral Elections.</w:t>
      </w:r>
      <w:r>
        <w:rPr>
          <w:color w:val="000000"/>
        </w:rPr>
        <w:t xml:space="preserve"> </w:t>
      </w:r>
      <w:r>
        <w:rPr>
          <w:rFonts w:ascii="Times New Roman;serif" w:hAnsi="Times New Roman;serif"/>
          <w:b w:val="false"/>
          <w:color w:val="000000"/>
          <w:sz w:val="24"/>
        </w:rPr>
        <w:t xml:space="preserve">The Committee, in its discretion, may provide that Compensation Deferral Agreements will continue in effect for subsequent years or performance periods by communicating that intention to Participants in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7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7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writing prior to the date Compensation Deferral Agreements become irrevocable under this Section 4.2. An evergreen Compensation Deferral Agreement may be revoked or modified in writing prospectively by the Participant or the Committee with respect to Compensation for which such election remains revocable under this Section 4.2. </w:t>
        <w:br/>
        <w:br/>
        <w:t>A Compensation Deferral Agreement is deemed to be revoked for subsequent years if the Participant is not a Director as of the last permissible date for making elections under this Section 4.2 or if the Compensation Deferral Agreement is cancelled in accordance with Section 4.4.</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4.3    </w:t>
      </w:r>
      <w:r>
        <w:rPr>
          <w:rFonts w:ascii="Times New Roman;serif" w:hAnsi="Times New Roman;serif"/>
          <w:b w:val="false"/>
          <w:color w:val="000000"/>
          <w:sz w:val="24"/>
          <w:u w:val="single"/>
        </w:rPr>
        <w:t>Cancellation of Deferrals.</w:t>
      </w:r>
      <w:r>
        <w:rPr>
          <w:color w:val="000000"/>
        </w:rPr>
        <w:t xml:space="preserve"> </w:t>
      </w:r>
      <w:r>
        <w:rPr>
          <w:rFonts w:ascii="Times New Roman;serif" w:hAnsi="Times New Roman;serif"/>
          <w:b w:val="false"/>
          <w:color w:val="000000"/>
          <w:sz w:val="24"/>
        </w:rPr>
        <w:t>To the extent any such cancellation will not result in a violation of Code Section 409A, the Committee in its sole discretion, may cancel a Participant’s Deferrals: (i) for the balance of the Plan Year in which an Unforeseeable Emergency occurs, and (ii) during periods in which the Participant is unable to perform the duties of his or her position or any substantially similar position due to a mental or physical impairment that can be expected to result in death or last for a continuous period of at least six months, provided cancellation occurs by the later of the end of the taxable year of the Participant or the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the third month following the date the Participant incurs the disability (as defined in this clause (ii)).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Payments from Accounts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5.1    </w:t>
      </w:r>
      <w:r>
        <w:rPr>
          <w:rFonts w:ascii="Times New Roman;serif" w:hAnsi="Times New Roman;serif"/>
          <w:b w:val="false"/>
          <w:color w:val="000000"/>
          <w:sz w:val="24"/>
          <w:u w:val="single"/>
        </w:rPr>
        <w:t>General Rules</w:t>
      </w:r>
      <w:r>
        <w:rPr>
          <w:rFonts w:ascii="Times New Roman;serif" w:hAnsi="Times New Roman;serif"/>
          <w:b w:val="false"/>
          <w:color w:val="000000"/>
          <w:sz w:val="24"/>
        </w:rPr>
        <w:t>. A Participant’s Accounts become payable upon the first to occur of the payment events applicable to such Account under (i) Sections 5.2 or 5.3 (as elected) and (ii) Sections 5.4 through 5.5.</w:t>
        <w:br/>
        <w:br/>
        <w:t>Payment events and Payment Schedules elected by the Participant shall be set forth in a valid Compensation Deferral Agreement that establishes the Account to which such elections apply in accordance with Article IV or in a valid modification election applicable to such Account as described in Section 5.9.</w:t>
        <w:br/>
        <w:br/>
        <w:t xml:space="preserve">Payment amounts are based on the vested Account Balances as of the first Valuation Date of the month in which actual payment will be made.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For Accounts holding deferred RSUs or PSUs, the Account Balance is the number of stock units held in the Account. Stock units will be paid in shares of stock or cash as provided under the terms of the RSU or PSU and Equity Plan. Any fractional units will be paid in cash.</w:t>
      </w:r>
    </w:p>
    <w:p>
      <w:pPr>
        <w:pStyle w:val="TextBody"/>
        <w:bidi w:val="0"/>
        <w:spacing w:before="0" w:after="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Specified Date Accounts</w:t>
      </w:r>
      <w:r>
        <w:rPr>
          <w:rFonts w:ascii="Times New Roman;serif" w:hAnsi="Times New Roman;serif"/>
          <w:b w:val="false"/>
          <w:color w:val="000000"/>
          <w:sz w:val="24"/>
        </w:rPr>
        <w:t xml:space="preserve">. </w:t>
        <w:br/>
        <w:br/>
      </w:r>
      <w:r>
        <w:rPr>
          <w:rFonts w:ascii="Times New Roman;serif" w:hAnsi="Times New Roman;serif"/>
          <w:b w:val="false"/>
          <w:i/>
          <w:color w:val="000000"/>
          <w:sz w:val="24"/>
        </w:rPr>
        <w:t>Commencement</w:t>
      </w:r>
      <w:r>
        <w:rPr>
          <w:rFonts w:ascii="Times New Roman;serif" w:hAnsi="Times New Roman;serif"/>
          <w:b w:val="false"/>
          <w:color w:val="000000"/>
          <w:sz w:val="24"/>
        </w:rPr>
        <w:t xml:space="preserve">. Payment of a Specified Date Account holding cash Deferrals is made in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8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8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third calendar year following the Plan Year in which such Specified Date Account is established unless the Participant elects a later calendar year.</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Payment of Specified Date Accounts holding grants of RSUs or PSUs commence payment in the fourth calendar year following the Plan Year in which it is granted unless the Committee specifies a later minimum deferral period or the Participant elects a later calendar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Notwithstanding the foregoing, if an election to defer an RSU or PSU is deferred under Section 4.2(e), the Specified Date Account in which it is held will be paid in the sixth calendar year following the calendar year in which the RSU or PSU becomes 100% vested unless the Participant elects a later year.</w:t>
        <w:br/>
        <w:br/>
      </w:r>
      <w:r>
        <w:rPr>
          <w:rFonts w:ascii="Times New Roman;serif" w:hAnsi="Times New Roman;serif"/>
          <w:b w:val="false"/>
          <w:i/>
          <w:color w:val="000000"/>
          <w:sz w:val="24"/>
        </w:rPr>
        <w:t>Form of Payment.</w:t>
      </w:r>
      <w:r>
        <w:rPr>
          <w:color w:val="000000"/>
        </w:rPr>
        <w:t xml:space="preserve"> </w:t>
      </w:r>
      <w:r>
        <w:rPr>
          <w:rFonts w:ascii="Times New Roman;serif" w:hAnsi="Times New Roman;serif"/>
          <w:b w:val="false"/>
          <w:color w:val="000000"/>
          <w:sz w:val="24"/>
        </w:rPr>
        <w:t>Payment of a Specified Date Account will be made in a lump sum, unless the Participant elected to receive such Account in a designated number of annual installments not to exceed ten (10) installment payments.</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br/>
        <w:t>The time and form of payment of a Specified Date Account is unaffected by an earlier Separation from Service described in Section 5.3.</w:t>
      </w:r>
    </w:p>
    <w:p>
      <w:pPr>
        <w:pStyle w:val="TextBody"/>
        <w:bidi w:val="0"/>
        <w:spacing w:lineRule="auto" w:line="288" w:before="0" w:after="0"/>
        <w:ind w:left="0" w:right="0" w:hanging="720"/>
        <w:jc w:val="left"/>
        <w:rPr/>
      </w:pPr>
      <w:r>
        <w:rPr>
          <w:rFonts w:ascii="Times New Roman;serif" w:hAnsi="Times New Roman;serif"/>
          <w:b w:val="false"/>
          <w:color w:val="000000"/>
          <w:sz w:val="24"/>
        </w:rPr>
        <w:t>5.3    </w:t>
      </w:r>
      <w:r>
        <w:rPr>
          <w:rFonts w:ascii="Times New Roman;serif" w:hAnsi="Times New Roman;serif"/>
          <w:b w:val="false"/>
          <w:color w:val="000000"/>
          <w:sz w:val="24"/>
          <w:u w:val="single"/>
        </w:rPr>
        <w:t>Separation from Service</w:t>
      </w:r>
      <w:r>
        <w:rPr>
          <w:rFonts w:ascii="Times New Roman;serif" w:hAnsi="Times New Roman;serif"/>
          <w:b w:val="false"/>
          <w:color w:val="000000"/>
          <w:sz w:val="24"/>
        </w:rPr>
        <w:t>. Upon a Participant’s Separation from Service other than death, the Participant is entitled to receive the vested portion of each Separation Account.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val="false"/>
          <w:i/>
          <w:color w:val="000000"/>
          <w:sz w:val="24"/>
        </w:rPr>
        <w:t>Commencement.</w:t>
      </w:r>
      <w:r>
        <w:rPr>
          <w:color w:val="000000"/>
        </w:rPr>
        <w:t xml:space="preserve"> </w:t>
      </w:r>
      <w:r>
        <w:rPr>
          <w:rFonts w:ascii="Times New Roman;serif" w:hAnsi="Times New Roman;serif"/>
          <w:b w:val="false"/>
          <w:color w:val="000000"/>
          <w:sz w:val="24"/>
        </w:rPr>
        <w:t>Separation Accounts commence payment in the calendar year following the calendar year in which Separation from Service occurs, unless the Participant elected a later calendar year for an Account.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Plan, payment to a Participant who is a “specified employee” as defined in Code Section 409A(a)(2)(B) will commence no earlier than the seventh month following the month of his or her Separation from Service.</w:t>
      </w:r>
    </w:p>
    <w:p>
      <w:pPr>
        <w:pStyle w:val="TextBody"/>
        <w:bidi w:val="0"/>
        <w:spacing w:lineRule="auto" w:line="288" w:before="0" w:after="0"/>
        <w:ind w:left="0" w:right="0" w:hanging="720"/>
        <w:jc w:val="left"/>
        <w:rPr/>
      </w:pPr>
      <w:r>
        <w:rPr>
          <w:color w:val="000000"/>
        </w:rPr>
        <w:t>    </w:t>
      </w:r>
      <w:r>
        <w:rPr>
          <w:rFonts w:ascii="Times New Roman;serif" w:hAnsi="Times New Roman;serif"/>
          <w:b w:val="false"/>
          <w:i/>
          <w:color w:val="000000"/>
          <w:sz w:val="24"/>
        </w:rPr>
        <w:t xml:space="preserve">Form of Payment. </w:t>
      </w:r>
      <w:r>
        <w:rPr>
          <w:rFonts w:ascii="Times New Roman;serif" w:hAnsi="Times New Roman;serif"/>
          <w:b w:val="false"/>
          <w:color w:val="000000"/>
          <w:sz w:val="24"/>
        </w:rPr>
        <w:t>Separation Accounts will be paid in a single lump sum unless the Participant elected to receive an Account in a designated number of annual installments not to exceed ten (10) installment payments.</w:t>
      </w:r>
    </w:p>
    <w:p>
      <w:pPr>
        <w:pStyle w:val="TextBody"/>
        <w:bidi w:val="0"/>
        <w:spacing w:lineRule="auto" w:line="288" w:before="0" w:after="0"/>
        <w:ind w:left="0" w:right="0" w:hanging="720"/>
        <w:jc w:val="left"/>
        <w:rPr/>
      </w:pPr>
      <w:r>
        <w:rPr>
          <w:rFonts w:ascii="Times New Roman;serif" w:hAnsi="Times New Roman;serif"/>
          <w:b w:val="false"/>
          <w:color w:val="000000"/>
          <w:sz w:val="24"/>
        </w:rPr>
        <w:t>5.4    </w:t>
      </w:r>
      <w:r>
        <w:rPr>
          <w:rFonts w:ascii="Times New Roman;serif" w:hAnsi="Times New Roman;serif"/>
          <w:b w:val="false"/>
          <w:color w:val="000000"/>
          <w:sz w:val="24"/>
          <w:u w:val="single"/>
        </w:rPr>
        <w:t>Death</w:t>
      </w:r>
      <w:r>
        <w:rPr>
          <w:rFonts w:ascii="Times New Roman;serif" w:hAnsi="Times New Roman;serif"/>
          <w:b w:val="false"/>
          <w:color w:val="000000"/>
          <w:sz w:val="24"/>
        </w:rPr>
        <w:t>. Notwithstanding anything to the contrary in this Article V, to the extent it will not result in a violation of Code Section 409A, upon the death of the Participant (regardless of whether such Participant is a Director at the time of death), all remaining vested Account Balances shall be paid to his or her Beneficiary in a single lump sum no later than December 31 of the calendar year following the year of the Participant’s death.</w:t>
      </w:r>
    </w:p>
    <w:p>
      <w:pPr>
        <w:pStyle w:val="TextBody"/>
        <w:bidi w:val="0"/>
        <w:spacing w:before="0" w:after="0"/>
        <w:ind w:left="0" w:right="0" w:hanging="720"/>
        <w:jc w:val="left"/>
        <w:rPr/>
      </w:pPr>
      <w:r>
        <w:rPr/>
      </w:r>
    </w:p>
    <w:p>
      <w:pPr>
        <w:pStyle w:val="TextBody"/>
        <w:bidi w:val="0"/>
        <w:spacing w:lineRule="auto" w:line="288" w:before="0" w:after="240"/>
        <w:ind w:left="0" w:right="0" w:hanging="720"/>
        <w:jc w:val="left"/>
        <w:rPr/>
      </w:pPr>
      <w:r>
        <w:rPr>
          <w:rFonts w:ascii="Times New Roman;serif" w:hAnsi="Times New Roman;serif"/>
          <w:b w:val="false"/>
          <w:color w:val="000000"/>
          <w:sz w:val="24"/>
        </w:rPr>
        <w:t>(a)    </w:t>
      </w:r>
      <w:r>
        <w:rPr>
          <w:rFonts w:ascii="Times New Roman;serif" w:hAnsi="Times New Roman;serif"/>
          <w:b w:val="false"/>
          <w:i/>
          <w:color w:val="000000"/>
          <w:sz w:val="24"/>
        </w:rPr>
        <w:t>Designation of Beneficiary in General</w:t>
      </w:r>
      <w:r>
        <w:rPr>
          <w:rFonts w:ascii="Times New Roman;serif" w:hAnsi="Times New Roman;serif"/>
          <w:b w:val="false"/>
          <w:color w:val="000000"/>
          <w:sz w:val="24"/>
        </w:rPr>
        <w:t xml:space="preserve">. The Participant shall designate a Beneficiary in the manner and on such terms and conditions as the Committee may prescribe. No such designation shall become effective unless filed with the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9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9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Committee during the Participant’s lifetime. Any designation shall remain in effect until a new designation is filed with the Committee; provided, however, that in the event a Participant designates his or her spouse as a Beneficiary, such designation shall be automatically revoked upon the dissolution of the marriage unless, following such dissolution, the Participant submits a new designation naming the former spouse as a Beneficiary. A Participant may from time to time change his or her designated Beneficiary without the consent of a previously-designated Beneficiary by filing a new designation with the Committee.</w:t>
      </w:r>
    </w:p>
    <w:p>
      <w:pPr>
        <w:pStyle w:val="TextBody"/>
        <w:bidi w:val="0"/>
        <w:spacing w:lineRule="auto" w:line="288" w:before="0" w:after="240"/>
        <w:ind w:left="0" w:right="0" w:hanging="720"/>
        <w:jc w:val="left"/>
        <w:rPr/>
      </w:pPr>
      <w:r>
        <w:rPr>
          <w:rFonts w:ascii="Times New Roman;serif" w:hAnsi="Times New Roman;serif"/>
          <w:b w:val="false"/>
          <w:color w:val="000000"/>
          <w:sz w:val="24"/>
        </w:rPr>
        <w:t>(b)    </w:t>
      </w:r>
      <w:r>
        <w:rPr>
          <w:rFonts w:ascii="Times New Roman;serif" w:hAnsi="Times New Roman;serif"/>
          <w:b w:val="false"/>
          <w:i/>
          <w:color w:val="000000"/>
          <w:sz w:val="24"/>
        </w:rPr>
        <w:t>No Beneficiary</w:t>
      </w:r>
      <w:r>
        <w:rPr>
          <w:rFonts w:ascii="Times New Roman;serif" w:hAnsi="Times New Roman;serif"/>
          <w:b w:val="false"/>
          <w:color w:val="000000"/>
          <w:sz w:val="24"/>
        </w:rPr>
        <w:t xml:space="preserve">. If a designated Beneficiary does not survive the Participant, or if there is no valid Beneficiary designation, amounts payable under the Plan upon the death of the Participant shall be paid to the Participant’s spouse, or if there is no surviving spouse, then to the Participant’s estate. </w:t>
      </w:r>
    </w:p>
    <w:p>
      <w:pPr>
        <w:pStyle w:val="TextBody"/>
        <w:bidi w:val="0"/>
        <w:spacing w:lineRule="auto" w:line="288" w:before="0" w:after="0"/>
        <w:ind w:left="0" w:right="0" w:hanging="720"/>
        <w:jc w:val="left"/>
        <w:rPr/>
      </w:pPr>
      <w:r>
        <w:rPr>
          <w:rFonts w:ascii="Times New Roman;serif" w:hAnsi="Times New Roman;serif"/>
          <w:b w:val="false"/>
          <w:color w:val="000000"/>
          <w:sz w:val="24"/>
        </w:rPr>
        <w:t>5.5    </w:t>
      </w:r>
      <w:r>
        <w:rPr>
          <w:rFonts w:ascii="Times New Roman;serif" w:hAnsi="Times New Roman;serif"/>
          <w:b w:val="false"/>
          <w:color w:val="000000"/>
          <w:sz w:val="24"/>
          <w:u w:val="single"/>
        </w:rPr>
        <w:t>Unforeseeable Emergency</w:t>
      </w:r>
      <w:r>
        <w:rPr>
          <w:rFonts w:ascii="Times New Roman;serif" w:hAnsi="Times New Roman;serif"/>
          <w:b w:val="false"/>
          <w:color w:val="000000"/>
          <w:sz w:val="24"/>
        </w:rPr>
        <w:t xml:space="preserve">. A Participant who experiences an Unforeseeable Emergency may submit a written request to the Committee to receive payment of all or any portion of his or her vested Accounts. If the emergency need cannot be relieved by cessation of Deferrals to the Plan, the Committee may approve an emergency payment therefrom not to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The amount of the emergency payment shall be subtracted from the vested portion of any Separation Accounts pro rata until fully distributed, then from the vested portion of the Specified Date Accounts, starting with the Account having the latest commencement date until fully distributed, then continuing in this manner with the next latest Account until the full amount of the distribution is made. Emergency payments shall be paid in a single lump sum within the 90-day period following the date the Committee approves the payment.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5.6    </w:t>
      </w:r>
      <w:r>
        <w:rPr>
          <w:rFonts w:ascii="Times New Roman;serif" w:hAnsi="Times New Roman;serif"/>
          <w:b w:val="false"/>
          <w:color w:val="000000"/>
          <w:sz w:val="24"/>
          <w:u w:val="single"/>
        </w:rPr>
        <w:t>Administrative Cash-Out of Small Balances</w:t>
      </w:r>
      <w:r>
        <w:rPr>
          <w:rFonts w:ascii="Times New Roman;serif" w:hAnsi="Times New Roman;serif"/>
          <w:b w:val="false"/>
          <w:color w:val="000000"/>
          <w:sz w:val="24"/>
        </w:rPr>
        <w:t>. Notwithstanding anything to the contrary in this Article V, the Committee may at any time and without regard to whether a payment event has occurred, direct in writing (no later than the date of the payment) an immediate lump sum payment of the Participant’s Accounts if the balance of such Accounts, combined with any other amounts required to be treated as deferred under a single plan pursuant to Code Section 409A, does not exceed the applicable dollar amount under Code Section 402(g)(1)(B), provided any other such aggregated amounts are also distributed in a lump sum at the same time.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5.7    </w:t>
      </w:r>
      <w:r>
        <w:rPr>
          <w:rFonts w:ascii="Times New Roman;serif" w:hAnsi="Times New Roman;serif"/>
          <w:b w:val="false"/>
          <w:color w:val="000000"/>
          <w:sz w:val="24"/>
          <w:u w:val="single"/>
        </w:rPr>
        <w:t>Acceleration of or Delay in Payments</w:t>
      </w:r>
      <w:r>
        <w:rPr>
          <w:rFonts w:ascii="Times New Roman;serif" w:hAnsi="Times New Roman;serif"/>
          <w:b w:val="false"/>
          <w:color w:val="000000"/>
          <w:sz w:val="24"/>
        </w:rPr>
        <w:t xml:space="preserve">. Notwithstanding anything to the contrary in this Article V, the Committee, in its sole and absolute discretion, may elect to accelerate the time or form of payment of an Account, provided such acceleration is permitted under Treas. Reg. Section 1.409A-3(j)(4). The Committee may also, in its sole and absolute discretion, delay the time for payment of an Account, to the extent permitted under Treas. Reg. Section 1.409A-2(b)(7). </w:t>
      </w:r>
    </w:p>
    <w:p>
      <w:pPr>
        <w:pStyle w:val="TextBody"/>
        <w:bidi w:val="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10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10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5.8    </w:t>
      </w:r>
      <w:r>
        <w:rPr>
          <w:rFonts w:ascii="Times New Roman;serif" w:hAnsi="Times New Roman;serif"/>
          <w:b w:val="false"/>
          <w:color w:val="000000"/>
          <w:sz w:val="24"/>
          <w:u w:val="single"/>
        </w:rPr>
        <w:t>Rules Applicable to Installment Payments</w:t>
      </w:r>
      <w:r>
        <w:rPr>
          <w:rFonts w:ascii="Times New Roman;serif" w:hAnsi="Times New Roman;serif"/>
          <w:b w:val="false"/>
          <w:color w:val="000000"/>
          <w:sz w:val="24"/>
        </w:rPr>
        <w:t>. If a Payment Schedule specifies annual installment payments, payments will be made commencing in the designated calendar year for the applicable payment under this Article V (as may be modified under Section 5.9) with subsequent installments paid in successive calendar years until the number of installment payments specified in the applicable Payment Schedule has been paid. The amount of each installment payment shall be determined by dividing (a) by (b), where (a) equals the vested Account Balance as of the first Valuation Date in the month actual payment will be made and (b) equals the remaining number of annual installment payments. For purposes of Section 5.9, installment payments will be treated as a single payment. Accounts payable in installments will continue to be credited with Earnings in accordance with Article VI hereof until the Account is completely distributed.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5.9    </w:t>
      </w:r>
      <w:r>
        <w:rPr>
          <w:rFonts w:ascii="Times New Roman;serif" w:hAnsi="Times New Roman;serif"/>
          <w:b w:val="false"/>
          <w:color w:val="000000"/>
          <w:sz w:val="24"/>
          <w:u w:val="single"/>
        </w:rPr>
        <w:t>Modifications to Payment Schedules</w:t>
      </w:r>
      <w:r>
        <w:rPr>
          <w:rFonts w:ascii="Times New Roman;serif" w:hAnsi="Times New Roman;serif"/>
          <w:b w:val="false"/>
          <w:color w:val="000000"/>
          <w:sz w:val="24"/>
        </w:rPr>
        <w:t>. A Participant may modify the Payment Schedule elected by him or her with respect to an Account, consistent with the permissible Payment Schedules available under the Plan for the applicable payment event, provided such modification complies with the requirements of this Section 5.9 and Code Section 409A.</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(a)    </w:t>
      </w:r>
      <w:r>
        <w:rPr>
          <w:rFonts w:ascii="Times New Roman;serif" w:hAnsi="Times New Roman;serif"/>
          <w:b w:val="false"/>
          <w:i/>
          <w:color w:val="000000"/>
          <w:sz w:val="24"/>
        </w:rPr>
        <w:t>Time of Election</w:t>
      </w:r>
      <w:r>
        <w:rPr>
          <w:rFonts w:ascii="Times New Roman;serif" w:hAnsi="Times New Roman;serif"/>
          <w:b w:val="false"/>
          <w:color w:val="000000"/>
          <w:sz w:val="24"/>
        </w:rPr>
        <w:t>. The modification election must be submitted to the Committee not less than 12 months prior to the first day of the calendar year payments would have commenced under the Payment Schedule in effect prior to modification (the “Prior Election”).</w:t>
      </w:r>
    </w:p>
    <w:p>
      <w:pPr>
        <w:pStyle w:val="TextBody"/>
        <w:bidi w:val="0"/>
        <w:spacing w:lineRule="auto" w:line="288" w:before="0" w:after="0"/>
        <w:ind w:left="0" w:right="0" w:hanging="720"/>
        <w:jc w:val="left"/>
        <w:rPr/>
      </w:pPr>
      <w:r>
        <w:rPr>
          <w:rFonts w:ascii="Times New Roman;serif" w:hAnsi="Times New Roman;serif"/>
          <w:b w:val="false"/>
          <w:color w:val="000000"/>
          <w:sz w:val="24"/>
        </w:rPr>
        <w:t>(b)    </w:t>
      </w:r>
      <w:r>
        <w:rPr>
          <w:rFonts w:ascii="Times New Roman;serif" w:hAnsi="Times New Roman;serif"/>
          <w:b w:val="false"/>
          <w:i/>
          <w:color w:val="000000"/>
          <w:sz w:val="24"/>
        </w:rPr>
        <w:t>Date of Payment under Modified Payment Schedule</w:t>
      </w:r>
      <w:r>
        <w:rPr>
          <w:rFonts w:ascii="Times New Roman;serif" w:hAnsi="Times New Roman;serif"/>
          <w:b w:val="false"/>
          <w:color w:val="000000"/>
          <w:sz w:val="24"/>
        </w:rPr>
        <w:t>. The calendar year in which payments are to commence under the modified Payment Schedule must be no earlier than the fifth calendar year after the calendar year payment would have commenced under the Prior Election. Under no circumstances may a modification election result in an acceleration of payments in violation of Code Section 409A. If the Participant modifies only the form, and not the commencement date for payment, payments shall commence in the fifth calendar year following the calendar year payment would have commenced under the Prior Election.</w:t>
      </w:r>
    </w:p>
    <w:p>
      <w:pPr>
        <w:pStyle w:val="TextBody"/>
        <w:bidi w:val="0"/>
        <w:spacing w:lineRule="auto" w:line="288" w:before="0" w:after="0"/>
        <w:ind w:left="0" w:right="0" w:hanging="720"/>
        <w:jc w:val="left"/>
        <w:rPr/>
      </w:pPr>
      <w:r>
        <w:rPr>
          <w:rFonts w:ascii="Times New Roman;serif" w:hAnsi="Times New Roman;serif"/>
          <w:b w:val="false"/>
          <w:color w:val="000000"/>
          <w:sz w:val="24"/>
        </w:rPr>
        <w:t>(c)    </w:t>
      </w:r>
      <w:r>
        <w:rPr>
          <w:rFonts w:ascii="Times New Roman;serif" w:hAnsi="Times New Roman;serif"/>
          <w:b w:val="false"/>
          <w:i/>
          <w:color w:val="000000"/>
          <w:sz w:val="24"/>
        </w:rPr>
        <w:t>Irrevocability; Effective Date</w:t>
      </w:r>
      <w:r>
        <w:rPr>
          <w:rFonts w:ascii="Times New Roman;serif" w:hAnsi="Times New Roman;serif"/>
          <w:b w:val="false"/>
          <w:color w:val="000000"/>
          <w:sz w:val="24"/>
        </w:rPr>
        <w:t>. A modification election is irrevocable when filed and becomes effective 12 months after the filing date.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(d)    </w:t>
      </w:r>
      <w:r>
        <w:rPr>
          <w:rFonts w:ascii="Times New Roman;serif" w:hAnsi="Times New Roman;serif"/>
          <w:b w:val="false"/>
          <w:i/>
          <w:color w:val="000000"/>
          <w:sz w:val="24"/>
        </w:rPr>
        <w:t>Effect on Accounts</w:t>
      </w:r>
      <w:r>
        <w:rPr>
          <w:rFonts w:ascii="Times New Roman;serif" w:hAnsi="Times New Roman;serif"/>
          <w:b w:val="false"/>
          <w:color w:val="000000"/>
          <w:sz w:val="24"/>
        </w:rPr>
        <w:t>. An election to modify a Payment Schedule is limited to the designated Account(s) and payment time or event to which such Payment Schedule applies and shall not be construed to affect any Payment Schedule for an alternative payment time or event applicable to such Account(s) or any Payment Schedule applicable to any other Account. In the event of an election to modify a Payment Schedule that does not satisfy the requirements of this Section 5.9, payment will be made in accordance with the Prior Election.</w:t>
      </w:r>
    </w:p>
    <w:p>
      <w:pPr>
        <w:pStyle w:val="TextBody"/>
        <w:bidi w:val="0"/>
        <w:spacing w:before="0" w:after="0"/>
        <w:jc w:val="left"/>
        <w:rPr/>
      </w:pPr>
      <w:r>
        <w:rPr/>
      </w:r>
    </w:p>
    <w:p>
      <w:pPr>
        <w:pStyle w:val="TextBody"/>
        <w:bidi w:val="0"/>
        <w:spacing w:lineRule="auto" w:line="288"/>
        <w:jc w:val="left"/>
        <w:rPr>
          <w:rFonts w:ascii="Times New Roman;serif" w:hAnsi="Times New Roman;serif"/>
          <w:b/>
          <w:color w:val="903033"/>
          <w:sz w:val="28"/>
        </w:rPr>
      </w:pPr>
      <w:r>
        <w:rPr>
          <w:rFonts w:ascii="Times New Roman;serif" w:hAnsi="Times New Roman;serif"/>
          <w:b/>
          <w:color w:val="903033"/>
          <w:sz w:val="28"/>
        </w:rPr>
        <w:t>Article VI</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11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11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Valuation of Account Balances; Investments</w:t>
      </w:r>
    </w:p>
    <w:p>
      <w:pPr>
        <w:pStyle w:val="TextBody"/>
        <w:bidi w:val="0"/>
        <w:spacing w:lineRule="auto" w:line="288" w:before="0" w:after="0"/>
        <w:ind w:left="0" w:right="0" w:hanging="720"/>
        <w:jc w:val="left"/>
        <w:rPr/>
      </w:pPr>
      <w:r>
        <w:rPr>
          <w:rFonts w:ascii="Times New Roman;serif" w:hAnsi="Times New Roman;serif"/>
          <w:b w:val="false"/>
          <w:color w:val="000000"/>
          <w:sz w:val="24"/>
        </w:rPr>
        <w:t>6.1    </w:t>
      </w:r>
      <w:r>
        <w:rPr>
          <w:rFonts w:ascii="Times New Roman;serif" w:hAnsi="Times New Roman;serif"/>
          <w:b w:val="false"/>
          <w:color w:val="000000"/>
          <w:sz w:val="24"/>
          <w:u w:val="single"/>
        </w:rPr>
        <w:t>Valuation.</w:t>
      </w:r>
      <w:r>
        <w:rPr>
          <w:color w:val="000000"/>
        </w:rPr>
        <w:t xml:space="preserve"> </w:t>
      </w:r>
      <w:r>
        <w:rPr>
          <w:rFonts w:ascii="Times New Roman;serif" w:hAnsi="Times New Roman;serif"/>
          <w:b w:val="false"/>
          <w:color w:val="000000"/>
          <w:sz w:val="24"/>
        </w:rPr>
        <w:t>Unless otherwise specified by the Committee, Deferrals shall be credited to appropriate Accounts as of the date such Compensation would have been paid to the Participant absent the Compensation Deferral Agreement. Valuation of Accounts shall be performed under procedures approved by the Committee.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6.2    </w:t>
      </w:r>
      <w:r>
        <w:rPr>
          <w:rFonts w:ascii="Times New Roman;serif" w:hAnsi="Times New Roman;serif"/>
          <w:b w:val="false"/>
          <w:color w:val="000000"/>
          <w:sz w:val="24"/>
          <w:u w:val="single"/>
        </w:rPr>
        <w:t>Earnings Credit.</w:t>
      </w:r>
      <w:r>
        <w:rPr>
          <w:color w:val="000000"/>
        </w:rPr>
        <w:t xml:space="preserve"> </w:t>
      </w:r>
      <w:r>
        <w:rPr>
          <w:rFonts w:ascii="Times New Roman;serif" w:hAnsi="Times New Roman;serif"/>
          <w:b w:val="false"/>
          <w:color w:val="000000"/>
          <w:sz w:val="24"/>
        </w:rPr>
        <w:t>Each Account will be credited with Earnings on each Business Day, based upon the Participant’s investment allocation among a menu of investment options selected in advance by the Committee, in accordance with the provisions of this Article VI (“investment allocation”).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6.3    </w:t>
      </w:r>
      <w:r>
        <w:rPr>
          <w:rFonts w:ascii="Times New Roman;serif" w:hAnsi="Times New Roman;serif"/>
          <w:b w:val="false"/>
          <w:color w:val="000000"/>
          <w:sz w:val="24"/>
          <w:u w:val="single"/>
        </w:rPr>
        <w:t>Investment Options</w:t>
      </w:r>
      <w:r>
        <w:rPr>
          <w:rFonts w:ascii="Times New Roman;serif" w:hAnsi="Times New Roman;serif"/>
          <w:b w:val="false"/>
          <w:color w:val="000000"/>
          <w:sz w:val="24"/>
        </w:rPr>
        <w:t>. The Committee will determine investment options. The Committee, in its sole discretion, shall be permitted to add or remove investment options from the Plan menu from time to time, provided that any such additions or removals of investment options shall not be effective with respect to any period prior to the effective date of such change.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6.4    </w:t>
      </w:r>
      <w:r>
        <w:rPr>
          <w:rFonts w:ascii="Times New Roman;serif" w:hAnsi="Times New Roman;serif"/>
          <w:b w:val="false"/>
          <w:color w:val="000000"/>
          <w:sz w:val="24"/>
          <w:u w:val="single"/>
        </w:rPr>
        <w:t>Investment Allocations.</w:t>
      </w:r>
      <w:r>
        <w:rPr>
          <w:color w:val="000000"/>
        </w:rPr>
        <w:t xml:space="preserve"> </w:t>
      </w:r>
      <w:r>
        <w:rPr>
          <w:rFonts w:ascii="Times New Roman;serif" w:hAnsi="Times New Roman;serif"/>
          <w:b w:val="false"/>
          <w:color w:val="000000"/>
          <w:sz w:val="24"/>
        </w:rPr>
        <w:t>A Participant’s investment allocation constitutes a deemed, not actual, investment among the investment options comprising the investment menu. At no time shall a Participant have any real or beneficial ownership in any investment option included in the investment menu, nor shall the Company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Subject to Section 6.6., a Participant shall specify an investment allocation for each of his Accounts in accordance with procedures established by the Committee. Allocation among the investment options must be designated in increments of 1%. The Participant’s investment allocation will become effective on the same Business Day or, in the case of investment allocations received after a time specified by the Committee, the next Business Day.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Subject to Section 6.6, 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6.5    </w:t>
      </w:r>
      <w:r>
        <w:rPr>
          <w:rFonts w:ascii="Times New Roman;serif" w:hAnsi="Times New Roman;serif"/>
          <w:b w:val="false"/>
          <w:color w:val="000000"/>
          <w:sz w:val="24"/>
          <w:u w:val="single"/>
        </w:rPr>
        <w:t>Unallocated Deferrals and Accounts.</w:t>
      </w:r>
      <w:r>
        <w:rPr>
          <w:color w:val="000000"/>
        </w:rPr>
        <w:t xml:space="preserve"> </w:t>
      </w:r>
      <w:r>
        <w:rPr>
          <w:rFonts w:ascii="Times New Roman;serif" w:hAnsi="Times New Roman;serif"/>
          <w:b w:val="false"/>
          <w:color w:val="000000"/>
          <w:sz w:val="24"/>
        </w:rPr>
        <w:t>If the Participant fails to make an investment allocation with respect to an Account, the Committee shall notionally invest such Account.</w:t>
      </w:r>
    </w:p>
    <w:p>
      <w:pPr>
        <w:pStyle w:val="TextBody"/>
        <w:bidi w:val="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12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12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6.6    </w:t>
      </w:r>
      <w:r>
        <w:rPr>
          <w:rFonts w:ascii="Times New Roman;serif" w:hAnsi="Times New Roman;serif"/>
          <w:b w:val="false"/>
          <w:color w:val="000000"/>
          <w:sz w:val="24"/>
          <w:u w:val="single"/>
        </w:rPr>
        <w:t>Company Stock</w:t>
      </w:r>
      <w:r>
        <w:rPr>
          <w:rFonts w:ascii="Times New Roman;serif" w:hAnsi="Times New Roman;serif"/>
          <w:b w:val="false"/>
          <w:color w:val="000000"/>
          <w:sz w:val="24"/>
        </w:rPr>
        <w:t xml:space="preserve">. Deferrals of RSUs and PSUs will be credited to a Participant’s Account in the designated number of units with each unit equal in value to one share of common stock of the Company (“Common Stock”). A Participant may not allocate stock units to another investment option under the Plan. A Participant may not allocate cash Deferrals into stock units.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If the number of outstanding shares of Common Stock is increased or decreased or the shares of Common Stock are changed into or exchanged for a different number or kind of stock or other securities of the Company on account of any recapitalization, reclassification, stock split, reverse split, combination of stock, exchange of stock, stock dividend, or other distribution payable in capital stock, or other increase or decrease in such stock effected without receipt of consideration by the Company occurring after the Effective Date, the Committee will make appropriate adjustments to (a) the number and kind of shares of Common Stock for which the RSUs or PSUs are outstanding, and (b) the number of RSUs or PSUs credited to each Participant’s Accounts.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Dividend equivalents payable with respect to deferred vested RSUs and PSUs will be deferred and credited to the same Account in which the RSUs or PSUs with respect to which such dividend equivalents are awarded are held.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Unless the Compensation Deferral Agreement specifies otherwise, dividend equivalents payable prior to the date on which the related RSU or PSU vests will not be deferred.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Dividend equivalents are invested in the same manner as cash Deferrals.</w:t>
      </w:r>
    </w:p>
    <w:p>
      <w:pPr>
        <w:pStyle w:val="TextBody"/>
        <w:bidi w:val="0"/>
        <w:spacing w:lineRule="auto" w:line="288" w:before="0" w:after="0"/>
        <w:ind w:left="0" w:right="0" w:hanging="720"/>
        <w:jc w:val="left"/>
        <w:rPr/>
      </w:pPr>
      <w:r>
        <w:rPr>
          <w:rFonts w:ascii="Times New Roman;serif" w:hAnsi="Times New Roman;serif"/>
          <w:b w:val="false"/>
          <w:color w:val="000000"/>
          <w:sz w:val="24"/>
        </w:rPr>
        <w:t>6.7    </w:t>
      </w:r>
      <w:r>
        <w:rPr>
          <w:rFonts w:ascii="Times New Roman;serif" w:hAnsi="Times New Roman;serif"/>
          <w:b w:val="false"/>
          <w:color w:val="000000"/>
          <w:sz w:val="24"/>
          <w:u w:val="single"/>
        </w:rPr>
        <w:t>Valuations Final After 180 Days</w:t>
      </w:r>
      <w:r>
        <w:rPr>
          <w:rFonts w:ascii="Times New Roman;serif" w:hAnsi="Times New Roman;serif"/>
          <w:b w:val="false"/>
          <w:color w:val="000000"/>
          <w:sz w:val="24"/>
        </w:rPr>
        <w:t>. The Participant shall have 180 days following the Valuation Date on which the Participant failed to receive the full amount of Earnings and to file a claim under Article X for the correction of such error.</w:t>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VII</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Administration</w:t>
      </w:r>
    </w:p>
    <w:p>
      <w:pPr>
        <w:pStyle w:val="TextBody"/>
        <w:bidi w:val="0"/>
        <w:spacing w:lineRule="auto" w:line="288" w:before="0" w:after="0"/>
        <w:ind w:left="0" w:right="0" w:hanging="720"/>
        <w:jc w:val="left"/>
        <w:rPr/>
      </w:pPr>
      <w:r>
        <w:rPr>
          <w:rFonts w:ascii="Times New Roman;serif" w:hAnsi="Times New Roman;serif"/>
          <w:b w:val="false"/>
          <w:color w:val="000000"/>
          <w:sz w:val="24"/>
        </w:rPr>
        <w:t>7.1    </w:t>
      </w:r>
      <w:r>
        <w:rPr>
          <w:rFonts w:ascii="Times New Roman;serif" w:hAnsi="Times New Roman;serif"/>
          <w:b w:val="false"/>
          <w:color w:val="000000"/>
          <w:sz w:val="24"/>
          <w:u w:val="single"/>
        </w:rPr>
        <w:t>Plan Administration</w:t>
      </w:r>
      <w:r>
        <w:rPr>
          <w:rFonts w:ascii="Times New Roman;serif" w:hAnsi="Times New Roman;serif"/>
          <w:b w:val="false"/>
          <w:color w:val="000000"/>
          <w:sz w:val="24"/>
        </w:rPr>
        <w:t>. This Plan shall be administered by the Committee which shall have discretionary authority to make, amend, interpret and enforce all appropriate rules and regulations for the administration of this Plan and to utilize its discretion to decide or resolve any and all questions, including but not limited to eligibility for benefits and interpretations of this Plan and its terms, as may arise in connection with the Plan. Claims for benefits shall be filed with the Committee and resolved in accordance with the claims procedures in Article X.</w:t>
      </w:r>
    </w:p>
    <w:p>
      <w:pPr>
        <w:pStyle w:val="TextBody"/>
        <w:bidi w:val="0"/>
        <w:spacing w:before="0" w:after="0"/>
        <w:ind w:left="0" w:right="0" w:hanging="72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7.2    </w:t>
      </w:r>
      <w:r>
        <w:rPr>
          <w:rFonts w:ascii="Times New Roman;serif" w:hAnsi="Times New Roman;serif"/>
          <w:b w:val="false"/>
          <w:color w:val="000000"/>
          <w:sz w:val="24"/>
          <w:u w:val="single"/>
        </w:rPr>
        <w:t>Administration Upon Change in Control.</w:t>
      </w:r>
      <w:r>
        <w:rPr>
          <w:color w:val="000000"/>
        </w:rPr>
        <w:t xml:space="preserve"> </w:t>
      </w:r>
      <w:r>
        <w:rPr>
          <w:rFonts w:ascii="Times New Roman;serif" w:hAnsi="Times New Roman;serif"/>
          <w:b w:val="false"/>
          <w:color w:val="000000"/>
          <w:sz w:val="24"/>
        </w:rPr>
        <w:t xml:space="preserve">Upon a change in control affecting the Company, the Committee, as constituted immediately prior to such change in control, shall continue to act as the Committee. The Committee, by a vote of a majority of its members, shall have the authority (but shall not be obligated) to appoint an independent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13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13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third party to act as the Committee. For purposes of this Section 7.2, a “change in control” means a change in control within the meaning of the rabbi trust agreement associated with the Plan or if no such definition is provided, the term shall have the meaning under Code Section 409A.</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Upon such change in control, the Company may not remove the Committee or its members, unless a majority of Participants and Beneficiaries with Account Balances consent to the removal and replacement of the Committee. Notwithstanding the foregoing, the Committee shall not have authority to direct investment of trust assets under any rabbi trust described in Section 9.2.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shall, with respect to the Committee identified under this Section: (i) pay all reasonable expenses and fees of the Committee, (ii) indemnify the Committee (including individuals serving as Committee members) as provided in Section 7.4, and (iii) supply full and timely information to the Committee on all matters related to the Plan, any rabbi trust, Participants, Beneficiaries and Accounts as the Committee may reasonably require.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7.3    </w:t>
      </w:r>
      <w:r>
        <w:rPr>
          <w:rFonts w:ascii="Times New Roman;serif" w:hAnsi="Times New Roman;serif"/>
          <w:b w:val="false"/>
          <w:color w:val="000000"/>
          <w:sz w:val="24"/>
          <w:u w:val="single"/>
        </w:rPr>
        <w:t>Withholding.</w:t>
      </w:r>
      <w:r>
        <w:rPr>
          <w:color w:val="000000"/>
        </w:rPr>
        <w:t xml:space="preserve"> </w:t>
      </w:r>
      <w:r>
        <w:rPr>
          <w:rFonts w:ascii="Times New Roman;serif" w:hAnsi="Times New Roman;serif"/>
          <w:b w:val="false"/>
          <w:color w:val="000000"/>
          <w:sz w:val="24"/>
        </w:rPr>
        <w:t>The Company shall have the right to withhold from any payment due under the Plan (or with respect to any amounts credited to the Plan) any taxes required by law to be withheld in respect of such payment (or credit). Withholdings with respect to amounts credited to the Plan shall be deducted from Compensation that has not been deferred to the Plan.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7.4    </w:t>
      </w:r>
      <w:r>
        <w:rPr>
          <w:rFonts w:ascii="Times New Roman;serif" w:hAnsi="Times New Roman;serif"/>
          <w:b w:val="false"/>
          <w:color w:val="000000"/>
          <w:sz w:val="24"/>
          <w:u w:val="single"/>
        </w:rPr>
        <w:t>Indemnification.</w:t>
      </w:r>
      <w:r>
        <w:rPr>
          <w:color w:val="000000"/>
        </w:rPr>
        <w:t xml:space="preserve"> </w:t>
      </w:r>
      <w:r>
        <w:rPr>
          <w:rFonts w:ascii="Times New Roman;serif" w:hAnsi="Times New Roman;serif"/>
          <w:b w:val="false"/>
          <w:color w:val="000000"/>
          <w:sz w:val="24"/>
        </w:rPr>
        <w:t>The Company shall indemnify and hold harmless each employee, officer, director, agent or organization, to whom or to which are delegated duties, responsibilities, and authority under the Plan or otherwise with respect to administration of the Plan, including, without limitation, the Committee, its members, its delegees and its agents, against all costs, claims, liabilities, fines and penalties, and all expenses reasonably incurred by or imposed upon him or it (including but not limited to reasonable attorney fees and expenses) which arise as a result of his or its actions or failure to act in connection with the operation and administration of the Plan to the extent lawfully allowable and to the extent that such claim, liability, fine, penalty, or expense is not paid for by liability insurance purchased or paid for by the Company. Any person seeking indemnification pursuant to this provision must notify the Company’s general counsel in writing of any event that may trigger this provision. Notwithstanding the foregoing, the Company shall not indemnify any person or organization if his or its actions or failure to act are due to gross negligence or willful misconduct or for any such amount incurred through any settlement or compromise of any action unless the Company consents in writing to such settlement or compromise.</w:t>
      </w:r>
    </w:p>
    <w:p>
      <w:pPr>
        <w:pStyle w:val="TextBody"/>
        <w:bidi w:val="0"/>
        <w:spacing w:before="0" w:after="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7.5    </w:t>
      </w:r>
      <w:r>
        <w:rPr>
          <w:rFonts w:ascii="Times New Roman;serif" w:hAnsi="Times New Roman;serif"/>
          <w:b w:val="false"/>
          <w:color w:val="000000"/>
          <w:sz w:val="24"/>
          <w:u w:val="single"/>
        </w:rPr>
        <w:t>Delegation of Authority.</w:t>
      </w:r>
      <w:r>
        <w:rPr>
          <w:color w:val="000000"/>
        </w:rPr>
        <w:t xml:space="preserve"> </w:t>
      </w:r>
      <w:r>
        <w:rPr>
          <w:rFonts w:ascii="Times New Roman;serif" w:hAnsi="Times New Roman;serif"/>
          <w:b w:val="false"/>
          <w:color w:val="000000"/>
          <w:sz w:val="24"/>
        </w:rPr>
        <w:t xml:space="preserve">In the administration of this Plan, the Committee may, from time to time, employ agents and delegate to them such administrative duties as it sees fit,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14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14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 may from time to time consult with legal counsel who shall be legal counsel to the Company.</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7.6    </w:t>
      </w:r>
      <w:r>
        <w:rPr>
          <w:rFonts w:ascii="Times New Roman;serif" w:hAnsi="Times New Roman;serif"/>
          <w:b w:val="false"/>
          <w:color w:val="000000"/>
          <w:sz w:val="24"/>
          <w:u w:val="single"/>
        </w:rPr>
        <w:t>Binding Decisions or Actions.</w:t>
      </w:r>
      <w:r>
        <w:rPr>
          <w:color w:val="000000"/>
        </w:rPr>
        <w:t xml:space="preserve"> </w:t>
      </w:r>
      <w:r>
        <w:rPr>
          <w:rFonts w:ascii="Times New Roman;serif" w:hAnsi="Times New Roman;serif"/>
          <w:b w:val="false"/>
          <w:color w:val="000000"/>
          <w:sz w:val="24"/>
        </w:rPr>
        <w:t xml:space="preserve">The decision or action of the Committee in respect of any question arising out of or in connection with the administration, interpretation and application of the Plan and the rules and regulations thereunder shall be final and conclusive and binding upon all persons having any interest in the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VIII</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Amendment and Termination</w:t>
      </w:r>
    </w:p>
    <w:p>
      <w:pPr>
        <w:pStyle w:val="TextBody"/>
        <w:bidi w:val="0"/>
        <w:spacing w:lineRule="auto" w:line="288" w:before="0" w:after="0"/>
        <w:ind w:left="0" w:right="0" w:hanging="720"/>
        <w:jc w:val="left"/>
        <w:rPr/>
      </w:pPr>
      <w:r>
        <w:rPr>
          <w:rFonts w:ascii="Times New Roman;serif" w:hAnsi="Times New Roman;serif"/>
          <w:b w:val="false"/>
          <w:color w:val="000000"/>
          <w:sz w:val="24"/>
        </w:rPr>
        <w:t>8.1    </w:t>
      </w:r>
      <w:r>
        <w:rPr>
          <w:rFonts w:ascii="Times New Roman;serif" w:hAnsi="Times New Roman;serif"/>
          <w:b w:val="false"/>
          <w:color w:val="000000"/>
          <w:sz w:val="24"/>
          <w:u w:val="single"/>
        </w:rPr>
        <w:t>Amendment and Termination.</w:t>
      </w:r>
      <w:r>
        <w:rPr>
          <w:color w:val="000000"/>
        </w:rPr>
        <w:t xml:space="preserve"> </w:t>
      </w:r>
      <w:r>
        <w:rPr>
          <w:rFonts w:ascii="Times New Roman;serif" w:hAnsi="Times New Roman;serif"/>
          <w:b w:val="false"/>
          <w:color w:val="000000"/>
          <w:sz w:val="24"/>
        </w:rPr>
        <w:t xml:space="preserve">The Company may at any time and from time to time amend the Plan or may terminate the Plan as provided in this Article VIII.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8.2    </w:t>
      </w:r>
      <w:r>
        <w:rPr>
          <w:rFonts w:ascii="Times New Roman;serif" w:hAnsi="Times New Roman;serif"/>
          <w:b w:val="false"/>
          <w:color w:val="000000"/>
          <w:sz w:val="24"/>
          <w:u w:val="single"/>
        </w:rPr>
        <w:t>Amendments.</w:t>
      </w:r>
      <w:r>
        <w:rPr>
          <w:color w:val="000000"/>
        </w:rPr>
        <w:t xml:space="preserve"> </w:t>
      </w:r>
      <w:r>
        <w:rPr>
          <w:rFonts w:ascii="Times New Roman;serif" w:hAnsi="Times New Roman;serif"/>
          <w:b w:val="false"/>
          <w:color w:val="000000"/>
          <w:sz w:val="24"/>
        </w:rPr>
        <w:t>The Company, by action taken by its Board of Directors or the Compensation and Management Development Committee thereof (acting solely in a settlor, not fiduciary capacity), may amend the Plan at any time and for any reason, provided that any such amendment shall not reduce the vested Account Balances of any Participant accrued as of the date of any such amendment or restatement (as if the Participant had incurred a voluntary Separation from Service on such date). The Committee shall have the authority to amend the Plan (acting solely in a settlor, not fiduciary capacity) without the consent of the Board of Directors for the purpose of: (i) conforming the Plan to the requirements of law; (ii) facilitating the administration of the Plan; (iii) clarifying provisions based on the Committee’s interpretation of the Plan documents; and (iv) making such other amendments as the Board of Directors may authorize.</w:t>
      </w:r>
    </w:p>
    <w:p>
      <w:pPr>
        <w:pStyle w:val="TextBody"/>
        <w:bidi w:val="0"/>
        <w:spacing w:lineRule="auto" w:line="288" w:before="0" w:after="0"/>
        <w:ind w:left="0" w:right="0" w:hanging="720"/>
        <w:jc w:val="left"/>
        <w:rPr/>
      </w:pPr>
      <w:r>
        <w:rPr>
          <w:rFonts w:ascii="Times New Roman;serif" w:hAnsi="Times New Roman;serif"/>
          <w:b w:val="false"/>
          <w:color w:val="000000"/>
          <w:sz w:val="24"/>
        </w:rPr>
        <w:t>8.3    </w:t>
      </w:r>
      <w:r>
        <w:rPr>
          <w:rFonts w:ascii="Times New Roman;serif" w:hAnsi="Times New Roman;serif"/>
          <w:b w:val="false"/>
          <w:color w:val="000000"/>
          <w:sz w:val="24"/>
          <w:u w:val="single"/>
        </w:rPr>
        <w:t>Termination.</w:t>
      </w:r>
      <w:r>
        <w:rPr>
          <w:color w:val="000000"/>
        </w:rPr>
        <w:t xml:space="preserve"> </w:t>
      </w:r>
      <w:r>
        <w:rPr>
          <w:rFonts w:ascii="Times New Roman;serif" w:hAnsi="Times New Roman;serif"/>
          <w:b w:val="false"/>
          <w:color w:val="000000"/>
          <w:sz w:val="24"/>
        </w:rPr>
        <w:t>The Company, by action taken by its Board of Directors or the Compensation and Management Development Committee thereof, may terminate the Plan and pay Participants and Beneficiaries their Account Balances in a single lump sum at any time, to the extent and in accordance with Treas. Reg. Section 1.409A-3(j)(4)(ix).</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8.4    </w:t>
      </w:r>
      <w:r>
        <w:rPr>
          <w:rFonts w:ascii="Times New Roman;serif" w:hAnsi="Times New Roman;serif"/>
          <w:b w:val="false"/>
          <w:color w:val="000000"/>
          <w:sz w:val="24"/>
          <w:u w:val="single"/>
        </w:rPr>
        <w:t>Accounts Taxable Under Code Section 409A.</w:t>
      </w:r>
      <w:r>
        <w:rPr>
          <w:color w:val="000000"/>
        </w:rPr>
        <w:t xml:space="preserve"> </w:t>
      </w:r>
      <w:r>
        <w:rPr>
          <w:rFonts w:ascii="Times New Roman;serif" w:hAnsi="Times New Roman;serif"/>
          <w:b w:val="false"/>
          <w:color w:val="000000"/>
          <w:sz w:val="24"/>
        </w:rPr>
        <w:t>The Plan is intended to constitute a plan of deferred compensation that meets the requirements for deferral of income taxation under Code Section 409A. The Committee, pursuant to its authority to interpret the Plan, may sever from the Plan or any Compensation Deferral Agreement any provision or exercise of a right that otherwise would result in a violation of Code Section 409A.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IX</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Informal Funding</w:t>
      </w:r>
    </w:p>
    <w:p>
      <w:pPr>
        <w:pStyle w:val="TextBody"/>
        <w:bidi w:val="0"/>
        <w:spacing w:lineRule="auto" w:line="288"/>
        <w:ind w:left="0" w:right="0" w:hanging="720"/>
        <w:jc w:val="left"/>
        <w:rPr/>
      </w:pPr>
      <w:r>
        <w:rPr>
          <w:rFonts w:ascii="Times New Roman;serif" w:hAnsi="Times New Roman;serif"/>
          <w:b w:val="false"/>
          <w:color w:val="000000"/>
          <w:sz w:val="24"/>
        </w:rPr>
        <w:t>9.1    </w:t>
      </w:r>
      <w:r>
        <w:rPr>
          <w:rFonts w:ascii="Times New Roman;serif" w:hAnsi="Times New Roman;serif"/>
          <w:b w:val="false"/>
          <w:color w:val="000000"/>
          <w:sz w:val="24"/>
          <w:u w:val="single"/>
        </w:rPr>
        <w:t>General Assets.</w:t>
      </w:r>
      <w:r>
        <w:rPr>
          <w:color w:val="000000"/>
        </w:rPr>
        <w:t xml:space="preserve"> </w:t>
      </w:r>
      <w:r>
        <w:rPr>
          <w:rFonts w:ascii="Times New Roman;serif" w:hAnsi="Times New Roman;serif"/>
          <w:b w:val="false"/>
          <w:color w:val="000000"/>
          <w:sz w:val="24"/>
        </w:rPr>
        <w:t xml:space="preserve">Obligations established under the terms of the Plan may be satisfied from the general funds of the Company, or a trust described in this Article IX. No Participant, spouse or Beneficiary shall have any right, title or interest whatever in assets of the Company. Nothing contained in this Plan, and no action taken pursuant to its provisions,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15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15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shall create or be construed to create a trust of any kind, or a fiduciary relationship, between the Company and any Director, spouse, or Beneficiary. To the extent that any person acquires a right to receive payments hereunder, such rights are no greater than the right of an unsecured general creditor of the Company.</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9.2    </w:t>
      </w:r>
      <w:r>
        <w:rPr>
          <w:rFonts w:ascii="Times New Roman;serif" w:hAnsi="Times New Roman;serif"/>
          <w:b w:val="false"/>
          <w:color w:val="000000"/>
          <w:sz w:val="24"/>
          <w:u w:val="single"/>
        </w:rPr>
        <w:t>Rabbi Trust.</w:t>
      </w:r>
      <w:r>
        <w:rPr>
          <w:color w:val="000000"/>
        </w:rPr>
        <w:t xml:space="preserve"> </w:t>
      </w:r>
      <w:r>
        <w:rPr>
          <w:rFonts w:ascii="Times New Roman;serif" w:hAnsi="Times New Roman;serif"/>
          <w:b w:val="false"/>
          <w:color w:val="000000"/>
          <w:sz w:val="24"/>
        </w:rPr>
        <w:t>The Company may, in its sole discretion, establish a grantor trust, commonly known as a rabbi trust, as a vehicle for accumulating assets to pay benefits under the Plan. Payments under the Plan may be paid from the general assets of the Company or from the assets of any such rabbi trust. Payment from any such source shall reduce the obligation owed to the Participant or Beneficiary under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X</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Claims</w:t>
      </w:r>
    </w:p>
    <w:p>
      <w:pPr>
        <w:pStyle w:val="TextBody"/>
        <w:bidi w:val="0"/>
        <w:spacing w:lineRule="auto" w:line="288" w:before="0" w:after="0"/>
        <w:ind w:left="0" w:right="0" w:hanging="720"/>
        <w:jc w:val="left"/>
        <w:rPr/>
      </w:pPr>
      <w:r>
        <w:rPr>
          <w:rFonts w:ascii="Times New Roman;serif" w:hAnsi="Times New Roman;serif"/>
          <w:b w:val="false"/>
          <w:color w:val="000000"/>
          <w:sz w:val="24"/>
        </w:rPr>
        <w:t>10.1    </w:t>
      </w:r>
      <w:r>
        <w:rPr>
          <w:rFonts w:ascii="Times New Roman;serif" w:hAnsi="Times New Roman;serif"/>
          <w:b w:val="false"/>
          <w:color w:val="000000"/>
          <w:sz w:val="24"/>
          <w:u w:val="single"/>
        </w:rPr>
        <w:t>Filing a Claim.</w:t>
      </w:r>
      <w:r>
        <w:rPr>
          <w:color w:val="000000"/>
        </w:rPr>
        <w:t xml:space="preserve"> </w:t>
      </w:r>
      <w:r>
        <w:rPr>
          <w:rFonts w:ascii="Times New Roman;serif" w:hAnsi="Times New Roman;serif"/>
          <w:b w:val="false"/>
          <w:color w:val="000000"/>
          <w:sz w:val="24"/>
        </w:rPr>
        <w:t>Any controversy or claim arising out of or relating to the Plan shall be filed in writing with the Committee which shall make all determinations concerning such claim. Any claim filed with the Committee and any decision by the Committee denying such claim shall be in writing and shall be delivered to the Participant or Beneficiary filing the claim (the “Claimant”). Notice of a claim for payments shall be delivered to the Committee within 90 days of the latest date upon which the payment could have been timely made in accordance with the terms of the Plan and Code Section 409A, and if not paid, the Participant or Beneficiary must file a claim under this Article X not later than 180 days after such latest date. If the Participant or Beneficiary fails to file a timely claim, the Participant forfeits any amounts to which he or she may have been entitled to receive under the claim.</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(a)    </w:t>
      </w:r>
      <w:r>
        <w:rPr>
          <w:rFonts w:ascii="Times New Roman;serif" w:hAnsi="Times New Roman;serif"/>
          <w:b w:val="false"/>
          <w:i/>
          <w:color w:val="000000"/>
          <w:sz w:val="24"/>
        </w:rPr>
        <w:t>In General.</w:t>
      </w:r>
      <w:r>
        <w:rPr>
          <w:color w:val="000000"/>
        </w:rPr>
        <w:t xml:space="preserve"> </w:t>
      </w:r>
      <w:r>
        <w:rPr>
          <w:rFonts w:ascii="Times New Roman;serif" w:hAnsi="Times New Roman;serif"/>
          <w:b w:val="false"/>
          <w:color w:val="000000"/>
          <w:sz w:val="24"/>
        </w:rPr>
        <w:t>Notice of a denial of benefits will be provided within 90 days of the Committee’s receipt of the Claimant's claim for benefits. If the Committee determines that it needs additional time to review the claim, the Committee will provide the Claimant with a notice of the extension before the end of the initial 90-day period. The extension will not be more than 90 days from the end of the initial 90-day period and the notice of extension will explain the special circumstances that require the extension and the date by which the Committee expects to make a decision.</w:t>
      </w:r>
    </w:p>
    <w:p>
      <w:pPr>
        <w:pStyle w:val="TextBody"/>
        <w:bidi w:val="0"/>
        <w:spacing w:before="0" w:after="0"/>
        <w:ind w:left="0" w:right="0" w:hanging="72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(b)    </w:t>
      </w:r>
      <w:r>
        <w:rPr>
          <w:rFonts w:ascii="Times New Roman;serif" w:hAnsi="Times New Roman;serif"/>
          <w:b w:val="false"/>
          <w:i/>
          <w:color w:val="000000"/>
          <w:sz w:val="24"/>
        </w:rPr>
        <w:t>Contents of Notice.</w:t>
      </w:r>
      <w:r>
        <w:rPr>
          <w:color w:val="000000"/>
        </w:rPr>
        <w:t xml:space="preserve"> </w:t>
      </w:r>
      <w:r>
        <w:rPr>
          <w:rFonts w:ascii="Times New Roman;serif" w:hAnsi="Times New Roman;serif"/>
          <w:b w:val="false"/>
          <w:color w:val="000000"/>
          <w:sz w:val="24"/>
        </w:rPr>
        <w:t xml:space="preserve">If a claim for benefits is completely or partially denied, notice of such denial shall be in writing. The notice of denial shall set forth the specific reasons for denial in plain language. The notice shall: (i) cite the pertinent provisions of the Plan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and the time limits applicable to such procedures, including the right to appeal the decision, the deadline by which such appeal must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16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16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 filed and a statement of the Claimant’s right to bring a civil action and the specific date by which such a civil action must commence under Section 10.4.</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10.2    </w:t>
      </w:r>
      <w:r>
        <w:rPr>
          <w:rFonts w:ascii="Times New Roman;serif" w:hAnsi="Times New Roman;serif"/>
          <w:b w:val="false"/>
          <w:color w:val="000000"/>
          <w:sz w:val="24"/>
          <w:u w:val="single"/>
        </w:rPr>
        <w:t>Appeal of Denied Claims.</w:t>
      </w:r>
      <w:r>
        <w:rPr>
          <w:color w:val="000000"/>
        </w:rPr>
        <w:t xml:space="preserve"> </w:t>
      </w:r>
      <w:r>
        <w:rPr>
          <w:rFonts w:ascii="Times New Roman;serif" w:hAnsi="Times New Roman;serif"/>
          <w:b w:val="false"/>
          <w:color w:val="000000"/>
          <w:sz w:val="24"/>
        </w:rPr>
        <w:t>A Claimant whose claim has been completely or partially denied shall be entitled to appeal the claim denial by filing a written appeal with a committee designated to hear such appeals (the “Appeals Committee”).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relating to the claim to the Appeals Committee. All written comments, documents, records, and other information shall be considered “relevant” if the information: (i) was relied upon in making a benefits determination, (ii) was submitted, considered or generated in the course of making a benefits decision regardless of whether it was relied upon to make the decision, or (iii) demonstrates compliance with administrative processes and safeguards established for making benefit decisions. The review shall consider all comments, documents, records, and other information submitted by the Claimant relating to the claim, without regard to whether such information was submitted or considered in the initial benefit determination. The Appeals Committee may, in its sole discretion and if it deems appropriate or necessary, decide to hold a hearing with respect to the claim appeal.</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In General.</w:t>
      </w:r>
      <w:r>
        <w:rPr>
          <w:color w:val="000000"/>
        </w:rPr>
        <w:t xml:space="preserve"> </w:t>
      </w:r>
      <w:r>
        <w:rPr>
          <w:rFonts w:ascii="Times New Roman;serif" w:hAnsi="Times New Roman;serif"/>
          <w:b w:val="false"/>
          <w:color w:val="000000"/>
          <w:sz w:val="24"/>
        </w:rPr>
        <w:t>Appeal of a denied benefits claim must be filed in writing with the Appeals Committee no later than 60 days after receipt of the written notification of such claim denial. The Appeals Committee shall make its decision regarding the merits of the denied claim within 60 days following receipt of the appeal (or within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consider comments, documents, records and other information submitted by the Claimant relating to the claim without regard to whether such information was submitted or considered in the initial benefit determination.</w:t>
      </w:r>
    </w:p>
    <w:p>
      <w:pPr>
        <w:pStyle w:val="TextBody"/>
        <w:bidi w:val="0"/>
        <w:spacing w:before="0" w:after="0"/>
        <w:ind w:left="0" w:right="0" w:firstLine="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Contents of Notice.</w:t>
      </w:r>
      <w:r>
        <w:rPr>
          <w:color w:val="000000"/>
        </w:rPr>
        <w:t xml:space="preserve"> </w:t>
      </w:r>
      <w:r>
        <w:rPr>
          <w:rFonts w:ascii="Times New Roman;serif" w:hAnsi="Times New Roman;serif"/>
          <w:b w:val="false"/>
          <w:color w:val="000000"/>
          <w:sz w:val="24"/>
        </w:rPr>
        <w:t>If a benefits claim is completely or partially denied on review, notice of such denial shall be in writing. Such notice shall set forth the reasons for denial in plain language.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The decision on review shall set forth: (i) the specific reason or reasons for the denial, (ii) specific references to the pertinent Plan provisions on which the denial is based, (iii) a statement that the Claimant is entitled to receive, upon request and free of charge, reasonable access to and copies of all documents, records, or other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17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17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information relevant (as defined above) to the Claimant’s claim, and (iv) a statement of the Claimant’s right to bring an action following an adverse decision on review and the specific date by which such a civil action must commence under Section 10.4.</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10.3    </w:t>
      </w:r>
      <w:r>
        <w:rPr>
          <w:rFonts w:ascii="Times New Roman;serif" w:hAnsi="Times New Roman;serif"/>
          <w:b w:val="false"/>
          <w:color w:val="000000"/>
          <w:sz w:val="24"/>
          <w:u w:val="single"/>
        </w:rPr>
        <w:t>Claims Appeals Upon Change in Control.</w:t>
      </w:r>
      <w:r>
        <w:rPr>
          <w:color w:val="000000"/>
        </w:rPr>
        <w:t xml:space="preserve"> </w:t>
      </w:r>
      <w:r>
        <w:rPr>
          <w:rFonts w:ascii="Times New Roman;serif" w:hAnsi="Times New Roman;serif"/>
          <w:b w:val="false"/>
          <w:color w:val="000000"/>
          <w:sz w:val="24"/>
        </w:rPr>
        <w:t>Upon a change in control, the Appeals Committee, as constituted immediately prior to such change in control, shall continue to act as the Appeals Committee. The Company may not remove any member of the Appeals Committee but may replace resigning members if 2/3rds of the members of the Board of Directors of the Company and a majority of Participants and Beneficiaries with Account Balances consent to the replacement. For purposes of this Section 10.3, a “change in control” means a change in control within the meaning of the rabbi trust agreement associated with the Plan or if no such definition is provided, the term shall have the meaning under Code Section 409A.</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Appeals Committee shall have the exclusive authority at the appeals stage to interpret the terms of the Plan and resolve appeals under the Claims Procedure.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shall, with respect to the Committee identified under this Section: (i) pay its proportionate share of all reasonable expenses and fees of the Appeals Committee, (ii) indemnify the Appeals Committee (including individual committee members) against any costs, expenses and liabilities including, without limitation, attorneys’ fees and expenses arising in connection with the performance of the Appeals Committee hereunder, except with respect to matters resulting from the Appeals Committee’s gross negligence or willful misconduct, and (iii) supply full and timely information to the Appeals Committee on all matters related to the Plan, any rabbi trust, Participants, Beneficiaries and Accounts as the Appeals Committee may reasonably require.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10.4    </w:t>
      </w:r>
      <w:r>
        <w:rPr>
          <w:rFonts w:ascii="Times New Roman;serif" w:hAnsi="Times New Roman;serif"/>
          <w:b w:val="false"/>
          <w:color w:val="000000"/>
          <w:sz w:val="24"/>
          <w:u w:val="single"/>
        </w:rPr>
        <w:t>Legal Action.</w:t>
      </w:r>
      <w:r>
        <w:rPr>
          <w:color w:val="000000"/>
        </w:rPr>
        <w:t xml:space="preserve"> </w:t>
      </w:r>
      <w:r>
        <w:rPr>
          <w:rFonts w:ascii="Times New Roman;serif" w:hAnsi="Times New Roman;serif"/>
          <w:b w:val="false"/>
          <w:color w:val="000000"/>
          <w:sz w:val="24"/>
        </w:rPr>
        <w:t>A Claimant may not bring any legal action, including commencement of any arbitration, relating to a claim for benefits under the Plan unless and until the Claimant has followed the claims procedures under the Plan and exhausted his or administrative remedies under Sections 10.1 and 10.2. No such legal action may be brought more than twelve (12) months following the notice of denial of benefits under Section 10.2, or if no appeal is filed by the applicable appeals deadline, twelve (12) months following the appeals deadline.</w:t>
      </w:r>
    </w:p>
    <w:p>
      <w:pPr>
        <w:pStyle w:val="TextBody"/>
        <w:bidi w:val="0"/>
        <w:spacing w:before="0" w:after="0"/>
        <w:ind w:left="0" w:right="0" w:hanging="72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If a Participant or Beneficiary prevails in a legal proceeding brought under the Plan to enforce the rights of such Participant or any other similarly situated Participant or Beneficiary, in whole or in part, the Company shall reimburse such Participant or Beneficiary for all legal costs, expenses, attorneys’ fees and such other liabilities incurred as a result of such proceedings. If the legal proceeding is brought in connection with a change in control as defined in Section 10.3, the Participant or Beneficiary may file a claim directly with the trustee, as applicable, for reimbursement of such costs, expenses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18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18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and fees. For purposes of the preceding sentence, the amount of the claim shall be treated as if it were an addition to the Participant’s or Beneficiary’s Account Balance .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10.5    </w:t>
      </w:r>
      <w:r>
        <w:rPr>
          <w:rFonts w:ascii="Times New Roman;serif" w:hAnsi="Times New Roman;serif"/>
          <w:b w:val="false"/>
          <w:color w:val="000000"/>
          <w:sz w:val="24"/>
          <w:u w:val="single"/>
        </w:rPr>
        <w:t>Discretion of Appeals Committee.</w:t>
      </w:r>
      <w:r>
        <w:rPr>
          <w:color w:val="000000"/>
        </w:rPr>
        <w:t xml:space="preserve"> </w:t>
      </w:r>
      <w:r>
        <w:rPr>
          <w:rFonts w:ascii="Times New Roman;serif" w:hAnsi="Times New Roman;serif"/>
          <w:b w:val="false"/>
          <w:color w:val="000000"/>
          <w:sz w:val="24"/>
        </w:rPr>
        <w:t>All interpretations, determinations and decisions of the Appeals Committee with respect to any claim shall be made in its sole discretion and shall be final and conclusive.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10.6    </w:t>
      </w:r>
      <w:r>
        <w:rPr>
          <w:rFonts w:ascii="Times New Roman;serif" w:hAnsi="Times New Roman;serif"/>
          <w:b w:val="false"/>
          <w:color w:val="000000"/>
          <w:sz w:val="24"/>
          <w:u w:val="single"/>
        </w:rPr>
        <w:t>Arbitration.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Prior to Change in Control.</w:t>
      </w:r>
      <w:r>
        <w:rPr>
          <w:color w:val="000000"/>
        </w:rPr>
        <w:t xml:space="preserve"> </w:t>
      </w:r>
      <w:r>
        <w:rPr>
          <w:rFonts w:ascii="Times New Roman;serif" w:hAnsi="Times New Roman;serif"/>
          <w:b w:val="false"/>
          <w:color w:val="000000"/>
          <w:sz w:val="24"/>
        </w:rPr>
        <w:t>If, prior to a change in control as defined in Section 10.3, any claim or controversy between the Company and a Participant or Beneficiary is not resolved through the claims procedure set forth in Article X, such claim shall be submitted to and resolved exclusively by expedited binding arbitration by a single arbitrator. Arbitration shall be conducted in accordance with the following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complaining party shall promptly send written notice to the other party identifying the matter in dispute and the proposed remedy. Following the giving of such notice, the parties shall meet and attempt in good faith to resolve the matter. In the event the parties are unable to resolve the matter within 21 days, the parties shall meet and attempt in good faith to select a single arbitrator acceptable to both parties. If a single arbitrator is not selected by mutual consent within ten Business Days following the giving of the written notice of dispute, an arbitrator shall be selected from a list of nine persons each of whom shall be an attorney who is either engaged in the active practice of law or recognized arbitrator and who, in either event, is experienced in serving as an arbitrator in disputes between employers and employees, which list shall be provided by the main office of either JAMS, the American Arbitration Association (“AAA”) or the Federal Mediation and Conciliation Service. If, within three Business Days of the parties’ receipt of such list, the parties are unable to agree on an arbitrator from the list, then the parties shall each strike names alternatively from the list, with the first to strike being determined by the flip of a coin. After each party has had four strikes, the remaining name on the list shall be the arbitrator. If such person is unable to serve for any reason, the parties shall repeat this process until an arbitrator is selected.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Unless the parties agree otherwise, within 60 days of the selection of the arbitrator, a hearing shall be conducted before such arbitrator at a time and a place agreed upon by the parties. In the event the parties are unable to agree upon the time or place of the arbitration, the time and place shall be designated by the arbitrator after consultation with the parties. Within 30 days of the conclusion of the arbitration hearing, the arbitrator shall issue an award, accompanied by a written decision explaining the basis for the arbitrator’s award.</w:t>
      </w:r>
    </w:p>
    <w:p>
      <w:pPr>
        <w:pStyle w:val="TextBody"/>
        <w:bidi w:val="0"/>
        <w:jc w:val="left"/>
        <w:rPr/>
      </w:pPr>
      <w:r>
        <w:rPr/>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19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19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any arbitration hereunder, the Company shall pay all administrative fees of the arbitration and all fees of the arbitrator, except that the Participant or Beneficiary may, if he/she/it wishes, pay up to one-half of those amounts. Each party shall pay its own attorneys’ fees, costs, and expenses, unless the arbitrator orders otherwise.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 The arbitrator shall have no authority to add to or to modify this Plan, shall apply all applicable law, and shall have no lesser and no greater remedial authority than would a court of law resolving the same claim or controversy. The arbitrator shall, upon an appropriate motion, dismiss any claim without an evidentiary hearing if the party bringing the motion establishes that it would be entitled to summary judgment if the matter had been pursued in court litigation.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parties shall be entitled to discovery as follows: Each party may take no more than three depositions. The Company may depose the Participant or Beneficiary plus two other witnesses, and the Participant or Beneficiary may depose the Company, pursuant to Rule 30(b)(6) of the Federal Rules of Civil Procedure, plus two other witnesses. Each party may make such reasonable document discovery requests as are allowed in the discretion of the arbitrator.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decision of the arbitrator shall be final, binding, and non-appealable, and may be enforced as a final judgment in any court of competent jurisdiction.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arbitration provision of the Plan shall extend to claims against any parent, subsidiary, or affiliate of each party, and, when acting within such capacity, any officer, director, shareholder, Participant, Beneficiary, or agent of any party, or of any of the above, and shall apply as well to claims arising out of state and federal statutes and local ordinances as well as to claims arising under the common law or under this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and unless otherwise agreed between the parties, either party may apply to a court for provisional relief, including a temporary restraining order or preliminary injunction, on the ground that the arbitration award to which the applicant may be entitled may be rendered ineffectual without provisional relief.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Any arbitration hereunder shall be conducted in accordance with the Federal Arbitration Act: provided, however, that, in the event of any inconsistency between the rules and procedures of the Act and the terms of this Plan, the terms of this Plan shall prevail.</w:t>
      </w:r>
    </w:p>
    <w:p>
      <w:pPr>
        <w:pStyle w:val="TextBody"/>
        <w:bidi w:val="0"/>
        <w:jc w:val="left"/>
        <w:rPr/>
      </w:pPr>
      <w:r>
        <w:rPr/>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20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20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any of the provisions of this Section 10.6(a) are determined to be unlawful or otherwise unenforceable, in the whole part, such determination shall not affect the validity of the remainder of this section and this section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provisions of this Section 10.6(a) are not absolutely binding, then the parties intend any arbitration decision and award to be fully admissible in evidence in any subsequent action, given great weight by any finder of fact and treated as determinative to the maximum extent permitted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parties do not agree to arbitrate any putative class action or any other representative action. The parties agree to arbitrate only the claims(s) of a single Participant or Beneficiary.</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Upon Change in Control.</w:t>
      </w:r>
      <w:r>
        <w:rPr>
          <w:color w:val="000000"/>
        </w:rPr>
        <w:t xml:space="preserve"> </w:t>
      </w:r>
      <w:r>
        <w:rPr>
          <w:rFonts w:ascii="Times New Roman;serif" w:hAnsi="Times New Roman;serif"/>
          <w:b w:val="false"/>
          <w:color w:val="000000"/>
          <w:sz w:val="24"/>
        </w:rPr>
        <w:t>Upon a change in control as defined in Section 10.3, Section 10.6(a) shall not apply and any legal action initiated by a Participant or Beneficiary to enforce his or her rights under the Plan may be brought in any court of competent jurisdiction. Notwithstanding the Appeals Committee’s discretion under Sections 10.3 and 10.5, the court shall apply a de novo standard of review to any prior claims decision under Sections 10.1 through 10.3 or any other determination made by the Company, its Board of Directors, the Committee, or the Appeals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XI</w:t>
      </w:r>
    </w:p>
    <w:p>
      <w:pPr>
        <w:pStyle w:val="TextBody"/>
        <w:bidi w:val="0"/>
        <w:spacing w:lineRule="auto" w:line="288" w:before="0" w:after="120"/>
        <w:jc w:val="left"/>
        <w:rPr>
          <w:rFonts w:ascii="Times New Roman;serif" w:hAnsi="Times New Roman;serif"/>
          <w:b w:val="false"/>
          <w:i/>
          <w:color w:val="903033"/>
          <w:sz w:val="24"/>
        </w:rPr>
      </w:pPr>
      <w:r>
        <w:rPr>
          <w:rFonts w:ascii="Times New Roman;serif" w:hAnsi="Times New Roman;serif"/>
          <w:b w:val="false"/>
          <w:i/>
          <w:color w:val="903033"/>
          <w:sz w:val="24"/>
        </w:rPr>
        <w:t>General Provisions</w:t>
      </w:r>
    </w:p>
    <w:p>
      <w:pPr>
        <w:pStyle w:val="TextBody"/>
        <w:bidi w:val="0"/>
        <w:spacing w:lineRule="auto" w:line="288" w:before="0" w:after="0"/>
        <w:ind w:left="0" w:right="0" w:hanging="720"/>
        <w:jc w:val="left"/>
        <w:rPr/>
      </w:pPr>
      <w:r>
        <w:rPr>
          <w:rFonts w:ascii="Times New Roman;serif" w:hAnsi="Times New Roman;serif"/>
          <w:b w:val="false"/>
          <w:color w:val="000000"/>
          <w:sz w:val="24"/>
        </w:rPr>
        <w:t>11.1    </w:t>
      </w:r>
      <w:r>
        <w:rPr>
          <w:rFonts w:ascii="Times New Roman;serif" w:hAnsi="Times New Roman;serif"/>
          <w:b w:val="false"/>
          <w:color w:val="000000"/>
          <w:sz w:val="24"/>
          <w:u w:val="single"/>
        </w:rPr>
        <w:t>Assignment.</w:t>
      </w:r>
      <w:r>
        <w:rPr>
          <w:color w:val="000000"/>
        </w:rPr>
        <w:t xml:space="preserve"> </w:t>
      </w:r>
      <w:r>
        <w:rPr>
          <w:rFonts w:ascii="Times New Roman;serif" w:hAnsi="Times New Roman;serif"/>
          <w:b w:val="false"/>
          <w:color w:val="000000"/>
          <w:sz w:val="24"/>
        </w:rPr>
        <w:t xml:space="preserve">No interest of any Participant, spouse or Beneficiary under this Plan and no benefit payable hereunder 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The Company may assign any or all of its liabilities under this Plan in connection with any restructuring, recapitalization, sale of assets or other similar transactions affecting the Company without the consent of the Participant.</w:t>
      </w:r>
    </w:p>
    <w:p>
      <w:pPr>
        <w:pStyle w:val="TextBody"/>
        <w:bidi w:val="0"/>
        <w:spacing w:before="0" w:after="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11.2    </w:t>
      </w:r>
      <w:r>
        <w:rPr>
          <w:rFonts w:ascii="Times New Roman;serif" w:hAnsi="Times New Roman;serif"/>
          <w:b w:val="false"/>
          <w:color w:val="000000"/>
          <w:sz w:val="24"/>
          <w:u w:val="single"/>
        </w:rPr>
        <w:t>No Legal or Equitable Rights or Interest.</w:t>
      </w:r>
      <w:r>
        <w:rPr>
          <w:color w:val="000000"/>
        </w:rPr>
        <w:t xml:space="preserve"> </w:t>
      </w:r>
      <w:r>
        <w:rPr>
          <w:rFonts w:ascii="Times New Roman;serif" w:hAnsi="Times New Roman;serif"/>
          <w:b w:val="false"/>
          <w:color w:val="000000"/>
          <w:sz w:val="24"/>
        </w:rPr>
        <w:t xml:space="preserve">No Participant or other person shall have any legal or equitable rights or interest in this Plan that are not expressly granted in this Plan. Participation in this Plan does not give any person any right to be retained in the service of the Company. The Company makes no representations or warranties as to the tax </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21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21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consequences to a Participant or a Participant’s beneficiaries resulting from a deferral of income pursuant to the Plan.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11.3    </w:t>
      </w:r>
      <w:r>
        <w:rPr>
          <w:rFonts w:ascii="Times New Roman;serif" w:hAnsi="Times New Roman;serif"/>
          <w:b w:val="false"/>
          <w:color w:val="000000"/>
          <w:sz w:val="24"/>
          <w:u w:val="single"/>
        </w:rPr>
        <w:t>No Employment Contract.</w:t>
      </w:r>
      <w:r>
        <w:rPr>
          <w:color w:val="000000"/>
        </w:rPr>
        <w:t xml:space="preserve"> </w:t>
      </w:r>
      <w:r>
        <w:rPr>
          <w:rFonts w:ascii="Times New Roman;serif" w:hAnsi="Times New Roman;serif"/>
          <w:b w:val="false"/>
          <w:color w:val="000000"/>
          <w:sz w:val="24"/>
        </w:rPr>
        <w:t>Nothing contained herein shall be construed to constitute a contract of employment between a Director and the Company.</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11.4    </w:t>
      </w:r>
      <w:r>
        <w:rPr>
          <w:rFonts w:ascii="Times New Roman;serif" w:hAnsi="Times New Roman;serif"/>
          <w:b w:val="false"/>
          <w:color w:val="000000"/>
          <w:sz w:val="24"/>
          <w:u w:val="single"/>
        </w:rPr>
        <w:t>Notice.</w:t>
      </w:r>
      <w:r>
        <w:rPr>
          <w:color w:val="000000"/>
        </w:rPr>
        <w:t xml:space="preserve"> </w:t>
      </w:r>
      <w:r>
        <w:rPr>
          <w:rFonts w:ascii="Times New Roman;serif" w:hAnsi="Times New Roman;serif"/>
          <w:b w:val="false"/>
          <w:color w:val="000000"/>
          <w:sz w:val="24"/>
        </w:rPr>
        <w:t>Any notice or filing required or permitted to be delivered to the Committee under this Plan shall be delivered in writing, in person, or through such electronic means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RHYTHM PHARMACEUTICALS,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222 BERKELEY STREET</w:t>
      </w:r>
    </w:p>
    <w:p>
      <w:pPr>
        <w:pStyle w:val="TextBody"/>
        <w:bidi w:val="0"/>
        <w:spacing w:lineRule="auto" w:line="288" w:before="0" w:after="0"/>
        <w:jc w:val="center"/>
        <w:rPr/>
      </w:pPr>
      <w:r>
        <w:rPr>
          <w:rFonts w:ascii="Times New Roman;serif" w:hAnsi="Times New Roman;serif"/>
          <w:b/>
          <w:color w:val="000000"/>
          <w:sz w:val="24"/>
        </w:rPr>
        <w:t>12</w:t>
      </w:r>
      <w:r>
        <w:rPr>
          <w:rFonts w:ascii="Times New Roman;serif" w:hAnsi="Times New Roman;serif"/>
          <w:b/>
          <w:color w:val="000000"/>
          <w:sz w:val="16"/>
        </w:rPr>
        <w:t>TH</w:t>
      </w:r>
      <w:r>
        <w:rPr>
          <w:color w:val="000000"/>
        </w:rPr>
        <w:t xml:space="preserve"> </w:t>
      </w:r>
      <w:r>
        <w:rPr>
          <w:rFonts w:ascii="Times New Roman;serif" w:hAnsi="Times New Roman;serif"/>
          <w:b/>
          <w:color w:val="000000"/>
          <w:sz w:val="24"/>
        </w:rPr>
        <w:t>FLOOR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BOSTON, MA 02116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ATTN: HUMAN RESOURCES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Any notice or filing required or permitted to be given to a Participant under this Plan shall be sufficient if in writing or hand-delivered or sent by mail to the last known address of the Participant.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11.5    </w:t>
      </w:r>
      <w:r>
        <w:rPr>
          <w:rFonts w:ascii="Times New Roman;serif" w:hAnsi="Times New Roman;serif"/>
          <w:b w:val="false"/>
          <w:color w:val="000000"/>
          <w:sz w:val="24"/>
          <w:u w:val="single"/>
        </w:rPr>
        <w:t>Headings.</w:t>
      </w:r>
      <w:r>
        <w:rPr>
          <w:color w:val="000000"/>
        </w:rPr>
        <w:t xml:space="preserve"> </w:t>
      </w:r>
      <w:r>
        <w:rPr>
          <w:rFonts w:ascii="Times New Roman;serif" w:hAnsi="Times New Roman;serif"/>
          <w:b w:val="false"/>
          <w:color w:val="000000"/>
          <w:sz w:val="24"/>
        </w:rPr>
        <w:t xml:space="preserve">The headings of Sections are included solely for convenience of reference, and if there is any conflict between such headings and the text of this Plan, the text shall control.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11.6    </w:t>
      </w:r>
      <w:r>
        <w:rPr>
          <w:rFonts w:ascii="Times New Roman;serif" w:hAnsi="Times New Roman;serif"/>
          <w:b w:val="false"/>
          <w:color w:val="000000"/>
          <w:sz w:val="24"/>
          <w:u w:val="single"/>
        </w:rPr>
        <w:t>Invalid or Unenforceable Provisions.</w:t>
      </w:r>
      <w:r>
        <w:rPr>
          <w:color w:val="000000"/>
        </w:rPr>
        <w:t xml:space="preserve"> </w:t>
      </w:r>
      <w:r>
        <w:rPr>
          <w:rFonts w:ascii="Times New Roman;serif" w:hAnsi="Times New Roman;serif"/>
          <w:b w:val="false"/>
          <w:color w:val="000000"/>
          <w:sz w:val="24"/>
        </w:rPr>
        <w:t>If any provision of this Plan shall be held invalid or unenforceable, such invalidity 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11.7    </w:t>
      </w:r>
      <w:r>
        <w:rPr>
          <w:rFonts w:ascii="Times New Roman;serif" w:hAnsi="Times New Roman;serif"/>
          <w:b w:val="false"/>
          <w:color w:val="000000"/>
          <w:sz w:val="24"/>
          <w:u w:val="single"/>
        </w:rPr>
        <w:t>Facility of Payment to a Minor.</w:t>
      </w:r>
      <w:r>
        <w:rPr>
          <w:color w:val="000000"/>
        </w:rPr>
        <w:t xml:space="preserve"> </w:t>
      </w:r>
      <w:r>
        <w:rPr>
          <w:rFonts w:ascii="Times New Roman;serif" w:hAnsi="Times New Roman;serif"/>
          <w:b w:val="false"/>
          <w:color w:val="000000"/>
          <w:sz w:val="24"/>
        </w:rPr>
        <w:t>If a distribution is to be made to a minor, or to a person who is otherwise incompetent, 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Plan from further liability on account thereof.</w:t>
      </w:r>
    </w:p>
    <w:p>
      <w:pPr>
        <w:pStyle w:val="TextBody"/>
        <w:bidi w:val="0"/>
        <w:spacing w:before="0" w:after="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11.8    </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The laws of the State of Massachusetts shall govern the construction and administration of the Plan.</w:t>
      </w:r>
    </w:p>
    <w:p>
      <w:pPr>
        <w:pStyle w:val="TextBody"/>
        <w:bidi w:val="0"/>
        <w:spacing w:lineRule="auto" w:line="288" w:before="0" w:after="0"/>
        <w:jc w:val="left"/>
        <w:rPr>
          <w:rFonts w:ascii="Times New Roman;serif" w:hAnsi="Times New Roman;serif"/>
          <w:b w:val="false"/>
          <w:color w:val="000000"/>
          <w:sz w:val="32"/>
        </w:rPr>
      </w:pPr>
      <w:r>
        <w:rPr>
          <w:rFonts w:ascii="Times New Roman;serif" w:hAnsi="Times New Roman;serif"/>
          <w:b w:val="false"/>
          <w:color w:val="000000"/>
          <w:sz w:val="32"/>
        </w:rPr>
        <w:t>Rhythm Pharmaceuticals, Inc. Deferred Compensation Plan (Directors)</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22 of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22 of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11.9    </w:t>
      </w:r>
      <w:r>
        <w:rPr>
          <w:rFonts w:ascii="Times New Roman;serif" w:hAnsi="Times New Roman;serif"/>
          <w:b w:val="false"/>
          <w:color w:val="000000"/>
          <w:sz w:val="24"/>
          <w:u w:val="single"/>
        </w:rPr>
        <w:t>Compliance With Code Section 409A; No Guarantee</w:t>
      </w:r>
      <w:r>
        <w:rPr>
          <w:rFonts w:ascii="Times New Roman;serif" w:hAnsi="Times New Roman;serif"/>
          <w:b w:val="false"/>
          <w:color w:val="000000"/>
          <w:sz w:val="24"/>
        </w:rPr>
        <w:t>. This Plan is intended to be administered in compliance with Code Section 409A and each provision of the Plan shall be interpreted consistent with Code Section 409A. Although intended to comply with Code Section 409A, this Plan shall not constitute a guarantee to any Participant or Beneficiary that the Plan in form or in operation will result in the deferral of federal or state income tax liabilities or that the Participant or Beneficiary will not be subject to the additional taxes imposed under Section 409A. The Company has no legal obligation to a Participant with respect to taxes, interest or penalties imposed under Code Section 409A.</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IN WITNESS WHEREOF, the undersigned executed this Plan as of the 1</w:t>
      </w:r>
      <w:r>
        <w:rPr>
          <w:rFonts w:ascii="Times New Roman;serif" w:hAnsi="Times New Roman;serif"/>
          <w:b/>
          <w:color w:val="000000"/>
          <w:sz w:val="16"/>
        </w:rPr>
        <w:t>st</w:t>
      </w:r>
      <w:r>
        <w:rPr>
          <w:color w:val="000000"/>
        </w:rPr>
        <w:t xml:space="preserve"> </w:t>
      </w:r>
      <w:r>
        <w:rPr>
          <w:rFonts w:ascii="Times New Roman;serif" w:hAnsi="Times New Roman;serif"/>
          <w:b/>
          <w:color w:val="000000"/>
          <w:sz w:val="24"/>
        </w:rPr>
        <w:t>day of May, 2026, to be effective as of the 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RHYTHM PHARMACEUTICALS, INC.</w:t>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Hunter C. Smith </w:t>
      </w:r>
      <w:r>
        <w:rPr>
          <w:rFonts w:ascii="Times New Roman;serif" w:hAnsi="Times New Roman;serif"/>
          <w:b w:val="false"/>
          <w:color w:val="000000"/>
          <w:sz w:val="24"/>
        </w:rPr>
        <w:t>(Print Name)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Its: </w:t>
      </w:r>
      <w:r>
        <w:rPr>
          <w:rFonts w:ascii="Times New Roman;serif" w:hAnsi="Times New Roman;serif"/>
          <w:b w:val="false"/>
          <w:color w:val="000000"/>
          <w:sz w:val="24"/>
          <w:u w:val="single"/>
        </w:rPr>
        <w:t xml:space="preserve">Chief Financial Officer </w:t>
      </w: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 xml:space="preserve">/s/ Hunter C. Smith </w:t>
      </w:r>
      <w:r>
        <w:rPr>
          <w:rFonts w:ascii="Times New Roman;serif" w:hAnsi="Times New Roman;serif"/>
          <w:b w:val="false"/>
          <w:color w:val="000000"/>
          <w:sz w:val="24"/>
        </w:rPr>
        <w:t>(Signature)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23 of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23 of 22</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David P. Meeker, certify that: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Rhythm Pharmaceuticals, Inc.;</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92" w:type="dxa"/>
        <w:jc w:val="left"/>
        <w:tblInd w:w="0" w:type="dxa"/>
        <w:tblLayout w:type="fixed"/>
        <w:tblCellMar>
          <w:top w:w="28" w:type="dxa"/>
          <w:left w:w="28" w:type="dxa"/>
          <w:bottom w:w="28" w:type="dxa"/>
          <w:right w:w="28" w:type="dxa"/>
        </w:tblCellMar>
      </w:tblPr>
      <w:tblGrid>
        <w:gridCol w:w="1345"/>
        <w:gridCol w:w="1185"/>
        <w:gridCol w:w="1190"/>
        <w:gridCol w:w="109"/>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Meeker,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P. Meeker,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Title: President and Chief Executive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Hunter C. Smith, certify that: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Rhythm Pharmaceuticals, Inc.;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987" w:type="dxa"/>
        <w:jc w:val="left"/>
        <w:tblInd w:w="0" w:type="dxa"/>
        <w:tblLayout w:type="fixed"/>
        <w:tblCellMar>
          <w:top w:w="28" w:type="dxa"/>
          <w:left w:w="28" w:type="dxa"/>
          <w:bottom w:w="28" w:type="dxa"/>
          <w:right w:w="28" w:type="dxa"/>
        </w:tblCellMar>
      </w:tblPr>
      <w:tblGrid>
        <w:gridCol w:w="1307"/>
        <w:gridCol w:w="1151"/>
        <w:gridCol w:w="1157"/>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Hunter C.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Hunter C. Smith</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Treasurer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David P. Meeker, M.D., certify pursuant to 18 U.S.C. Section 1350, as adopted pursuant to Section 906 of the Sarbanes-Oxley Act of 2002, that, to the best of my knowledge, the Quarterly Report on Form 10-Q of Rhythm Pharmaceuticals, Inc. for the fiscal quarter ended March 31, 2026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tbl>
      <w:tblPr>
        <w:tblW w:w="4046" w:type="dxa"/>
        <w:jc w:val="left"/>
        <w:tblInd w:w="0" w:type="dxa"/>
        <w:tblLayout w:type="fixed"/>
        <w:tblCellMar>
          <w:top w:w="28" w:type="dxa"/>
          <w:left w:w="28" w:type="dxa"/>
          <w:bottom w:w="28" w:type="dxa"/>
          <w:right w:w="28" w:type="dxa"/>
        </w:tblCellMar>
      </w:tblPr>
      <w:tblGrid>
        <w:gridCol w:w="1331"/>
        <w:gridCol w:w="1167"/>
        <w:gridCol w:w="1176"/>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Meeker,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P. Meeker,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Hunter C. Smith, certify pursuant to 18 U.S.C. Section 1350, as adopted pursuant to Section 906 of the Sarbanes-Oxley Act of 2002, that, to the best of my knowledge, the Quarterly Report on Form 10-Q of Rhythm Pharmaceuticals, Inc. for the fiscal quarter ended March 31, 2026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tbl>
      <w:tblPr>
        <w:tblW w:w="3987" w:type="dxa"/>
        <w:jc w:val="left"/>
        <w:tblInd w:w="0" w:type="dxa"/>
        <w:tblLayout w:type="fixed"/>
        <w:tblCellMar>
          <w:top w:w="28" w:type="dxa"/>
          <w:left w:w="28" w:type="dxa"/>
          <w:bottom w:w="28" w:type="dxa"/>
          <w:right w:w="28" w:type="dxa"/>
        </w:tblCellMar>
      </w:tblPr>
      <w:tblGrid>
        <w:gridCol w:w="1305"/>
        <w:gridCol w:w="1149"/>
        <w:gridCol w:w="1161"/>
        <w:gridCol w:w="109"/>
        <w:gridCol w:w="109"/>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Hunter C.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 Hunter C.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Treasurer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904/000155837025008924/rytm-20250624xex3d1.htm" TargetMode="External"/><Relationship Id="rId3" Type="http://schemas.openxmlformats.org/officeDocument/2006/relationships/hyperlink" Target="https://www.sec.gov/Archives/edgar/data/1649904/000110465923126873/tm2332524d2_ex3-1.htm" TargetMode="External"/><Relationship Id="rId4" Type="http://schemas.openxmlformats.org/officeDocument/2006/relationships/hyperlink" Target="https://www.sec.gov/Archives/edgar/data/1649904/000110465924047492/tm2411919d1_ex3-1.htm" TargetMode="External"/><Relationship Id="rId5" Type="http://schemas.openxmlformats.org/officeDocument/2006/relationships/hyperlink" Target="https://www.sec.gov/Archives/edgar/data/1649904/000155837024007076/rytm-20240331xex3d4.htm" TargetMode="External"/><Relationship Id="rId6" Type="http://schemas.openxmlformats.org/officeDocument/2006/relationships/hyperlink" Target="https://www.sec.gov/Archives/edgar/data/1649904/000110465926020665/tm267280d2_ex4-3.htm" TargetMode="External"/><Relationship Id="rId7" Type="http://schemas.openxmlformats.org/officeDocument/2006/relationships/hyperlink" Target="https://www.sec.gov/Archives/edgar/data/1649904/000110465926020665/tm267280d2_ex4-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77347</Words>
  <Characters>433400</Characters>
  <CharactersWithSpaces>509326</CharactersWithSpaces>
  <Paragraphs>2631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